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word/theme/theme1.xml" ContentType="application/vnd.openxmlformats-officedocument.theme+xml"/>
  <Override PartName="/word/fontTable.xml" ContentType="application/vnd.openxmlformats-officedocument.wordprocessingml.fontTable+xml"/>
  <Override PartName="/word/endnotes.xml" ContentType="application/vnd.openxmlformats-officedocument.wordprocessingml.endnotes+xml"/>
  <Override PartName="/word/numbering.xml" ContentType="application/vnd.openxmlformats-officedocument.wordprocessingml.numbering+xml"/>
  <Override PartName="/word/webSettings.xml" ContentType="application/vnd.openxmlformats-officedocument.wordprocessingml.webSettings+xml"/>
  <Override PartName="/docProps/app.xml" ContentType="application/vnd.openxmlformats-officedocument.extended-properties+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document.xml" ContentType="application/vnd.openxmlformats-officedocument.wordprocessingml.document.main+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pPr>
        <w:pStyle w:val="1_867"/>
        <w:pBdr/>
        <w:spacing/>
        <w:ind/>
        <w:jc w:val="both"/>
        <w:rPr/>
      </w:pPr>
      <w:r/>
      <w:bookmarkStart w:id="2" w:name="_Hlk179183609"/>
      <w:r>
        <w:rPr>
          <w:rStyle w:val="1_866"/>
          <w:rFonts w:cs="Times New Roman"/>
          <w:sz w:val="20"/>
          <w:szCs w:val="20"/>
        </w:rPr>
        <w:tab/>
      </w:r>
      <w:r>
        <w:rPr>
          <w:rStyle w:val="1_866"/>
          <w:rFonts w:cs="Times New Roman"/>
          <w:sz w:val="20"/>
          <w:szCs w:val="20"/>
        </w:rPr>
        <w:tab/>
      </w:r>
      <w:r>
        <w:rPr>
          <w:rStyle w:val="1_866"/>
          <w:rFonts w:cs="Times New Roman"/>
          <w:sz w:val="20"/>
          <w:szCs w:val="20"/>
        </w:rPr>
        <w:tab/>
      </w:r>
      <w:r>
        <w:rPr>
          <w:rStyle w:val="1_866"/>
          <w:rFonts w:cs="Times New Roman"/>
          <w:sz w:val="20"/>
          <w:szCs w:val="20"/>
        </w:rPr>
        <w:tab/>
      </w:r>
      <w:r>
        <w:rPr>
          <w:rStyle w:val="1_866"/>
          <w:rFonts w:cs="Times New Roman"/>
          <w:sz w:val="20"/>
          <w:szCs w:val="20"/>
        </w:rPr>
        <w:tab/>
      </w:r>
      <w:r>
        <w:rPr>
          <w:rStyle w:val="1_866"/>
          <w:rFonts w:cs="Times New Roman"/>
          <w:sz w:val="20"/>
          <w:szCs w:val="20"/>
        </w:rPr>
        <w:tab/>
      </w:r>
      <w:r>
        <w:rPr>
          <w:rStyle w:val="1_866"/>
          <w:rFonts w:cs="Times New Roman"/>
          <w:sz w:val="20"/>
          <w:szCs w:val="20"/>
        </w:rPr>
        <w:tab/>
      </w:r>
      <w:r>
        <w:rPr>
          <w:rStyle w:val="1_866"/>
          <w:rFonts w:cs="Times New Roman"/>
          <w:sz w:val="20"/>
          <w:szCs w:val="20"/>
        </w:rPr>
        <w:tab/>
      </w:r>
      <w:r>
        <w:rPr>
          <w:rStyle w:val="1_866"/>
          <w:rFonts w:cs="Times New Roman"/>
          <w:sz w:val="20"/>
          <w:szCs w:val="20"/>
        </w:rPr>
        <w:tab/>
        <w:t xml:space="preserve">ZAŁĄCZNIK Nr 1</w:t>
      </w:r>
      <w:r/>
      <w:r/>
    </w:p>
    <w:p>
      <w:pPr>
        <w:pStyle w:val="1_867"/>
        <w:pBdr/>
        <w:spacing/>
        <w:ind/>
        <w:jc w:val="both"/>
        <w:rPr/>
      </w:pPr>
      <w:r>
        <w:rPr>
          <w:rStyle w:val="1_866"/>
          <w:rFonts w:cs="Times New Roman"/>
          <w:sz w:val="28"/>
          <w:szCs w:val="28"/>
        </w:rPr>
        <w:tab/>
      </w:r>
      <w:r>
        <w:rPr>
          <w:rStyle w:val="1_866"/>
          <w:rFonts w:cs="Times New Roman"/>
          <w:sz w:val="28"/>
          <w:szCs w:val="28"/>
        </w:rPr>
        <w:tab/>
      </w:r>
      <w:r>
        <w:rPr>
          <w:rStyle w:val="1_866"/>
          <w:rFonts w:cs="Times New Roman"/>
          <w:sz w:val="28"/>
          <w:szCs w:val="28"/>
        </w:rPr>
        <w:tab/>
      </w:r>
      <w:r>
        <w:rPr>
          <w:rStyle w:val="1_866"/>
          <w:rFonts w:cs="Times New Roman"/>
          <w:sz w:val="28"/>
          <w:szCs w:val="28"/>
        </w:rPr>
        <w:tab/>
      </w:r>
      <w:r>
        <w:rPr>
          <w:rStyle w:val="1_866"/>
          <w:rFonts w:cs="Times New Roman"/>
          <w:sz w:val="28"/>
          <w:szCs w:val="28"/>
        </w:rPr>
        <w:tab/>
      </w:r>
      <w:r>
        <w:rPr>
          <w:rStyle w:val="1_866"/>
          <w:rFonts w:cs="Times New Roman"/>
          <w:sz w:val="28"/>
          <w:szCs w:val="28"/>
        </w:rPr>
        <w:tab/>
      </w:r>
      <w:r>
        <w:rPr>
          <w:rStyle w:val="1_866"/>
          <w:rFonts w:cs="Times New Roman"/>
          <w:sz w:val="28"/>
          <w:szCs w:val="28"/>
        </w:rPr>
        <w:tab/>
      </w:r>
      <w:r>
        <w:rPr>
          <w:rStyle w:val="1_866"/>
          <w:rFonts w:cs="Times New Roman"/>
          <w:sz w:val="28"/>
          <w:szCs w:val="28"/>
        </w:rPr>
        <w:tab/>
      </w:r>
      <w:r>
        <w:rPr>
          <w:rStyle w:val="1_866"/>
          <w:rFonts w:cs="Times New Roman"/>
          <w:sz w:val="28"/>
          <w:szCs w:val="28"/>
        </w:rPr>
        <w:tab/>
      </w:r>
      <w:r>
        <w:rPr>
          <w:rStyle w:val="1_866"/>
          <w:rFonts w:cs="Times New Roman"/>
          <w:sz w:val="20"/>
          <w:szCs w:val="20"/>
        </w:rPr>
        <w:t xml:space="preserve">do Zarządzenia Nr 167/2024</w:t>
      </w:r>
      <w:r/>
      <w:r/>
    </w:p>
    <w:p>
      <w:pPr>
        <w:pStyle w:val="1_867"/>
        <w:pBdr/>
        <w:spacing/>
        <w:ind/>
        <w:jc w:val="both"/>
        <w:rPr>
          <w:rFonts w:cs="Times New Roman"/>
          <w:sz w:val="20"/>
          <w:szCs w:val="20"/>
        </w:rPr>
      </w:pPr>
      <w:r>
        <w:rPr>
          <w:rFonts w:cs="Times New Roman"/>
          <w:sz w:val="20"/>
          <w:szCs w:val="20"/>
        </w:rPr>
        <w:tab/>
        <w:tab/>
        <w:tab/>
        <w:tab/>
        <w:tab/>
        <w:tab/>
        <w:tab/>
        <w:tab/>
        <w:tab/>
        <w:t xml:space="preserve">Burmistrza Miasta Pionki</w:t>
      </w:r>
      <w:r>
        <w:rPr>
          <w:rFonts w:cs="Times New Roman"/>
          <w:sz w:val="20"/>
          <w:szCs w:val="20"/>
        </w:rPr>
      </w:r>
      <w:r>
        <w:rPr>
          <w:rFonts w:cs="Times New Roman"/>
          <w:sz w:val="20"/>
          <w:szCs w:val="20"/>
        </w:rPr>
      </w:r>
    </w:p>
    <w:p>
      <w:pPr>
        <w:pStyle w:val="1_867"/>
        <w:pBdr/>
        <w:spacing/>
        <w:ind/>
        <w:jc w:val="both"/>
        <w:rPr>
          <w:rFonts w:cs="Times New Roman"/>
          <w:sz w:val="20"/>
          <w:szCs w:val="20"/>
        </w:rPr>
      </w:pPr>
      <w:r>
        <w:rPr>
          <w:rFonts w:cs="Times New Roman"/>
          <w:sz w:val="20"/>
          <w:szCs w:val="20"/>
        </w:rPr>
        <w:tab/>
        <w:tab/>
        <w:tab/>
        <w:tab/>
        <w:tab/>
        <w:tab/>
        <w:tab/>
        <w:tab/>
        <w:tab/>
        <w:t xml:space="preserve">z dnia 10 października 2024 r.</w:t>
      </w:r>
      <w:r>
        <w:rPr>
          <w:rFonts w:cs="Times New Roman"/>
          <w:sz w:val="20"/>
          <w:szCs w:val="20"/>
        </w:rPr>
      </w:r>
      <w:r>
        <w:rPr>
          <w:rFonts w:cs="Times New Roman"/>
          <w:sz w:val="20"/>
          <w:szCs w:val="20"/>
        </w:rPr>
      </w:r>
    </w:p>
    <w:p>
      <w:pPr>
        <w:pStyle w:val="1_867"/>
        <w:pBdr/>
        <w:spacing/>
        <w:ind/>
        <w:jc w:val="center"/>
        <w:rPr>
          <w:rFonts w:cs="Times New Roman"/>
          <w:b/>
          <w:bCs/>
          <w:sz w:val="28"/>
          <w:szCs w:val="28"/>
        </w:rPr>
      </w:pPr>
      <w:r/>
      <w:bookmarkEnd w:id="2"/>
      <w:r>
        <w:rPr>
          <w:rFonts w:cs="Times New Roman"/>
          <w:b/>
          <w:bCs/>
          <w:sz w:val="28"/>
          <w:szCs w:val="28"/>
        </w:rPr>
      </w:r>
      <w:r>
        <w:rPr>
          <w:rFonts w:cs="Times New Roman"/>
          <w:b/>
          <w:bCs/>
          <w:sz w:val="28"/>
          <w:szCs w:val="28"/>
        </w:rPr>
      </w:r>
    </w:p>
    <w:p>
      <w:pPr>
        <w:pStyle w:val="1_867"/>
        <w:pBdr/>
        <w:spacing/>
        <w:ind/>
        <w:jc w:val="center"/>
        <w:rPr>
          <w:rFonts w:cs="Times New Roman"/>
          <w:b/>
          <w:bCs/>
          <w:sz w:val="28"/>
          <w:szCs w:val="28"/>
        </w:rPr>
      </w:pPr>
      <w:r>
        <w:rPr>
          <w:rFonts w:cs="Times New Roman"/>
          <w:b/>
          <w:bCs/>
          <w:sz w:val="28"/>
          <w:szCs w:val="28"/>
        </w:rPr>
        <w:t xml:space="preserve">PROPOZYCJA</w:t>
      </w:r>
      <w:r>
        <w:rPr>
          <w:rFonts w:cs="Times New Roman"/>
          <w:b/>
          <w:bCs/>
          <w:sz w:val="28"/>
          <w:szCs w:val="28"/>
        </w:rPr>
      </w:r>
      <w:r>
        <w:rPr>
          <w:rFonts w:cs="Times New Roman"/>
          <w:b/>
          <w:bCs/>
          <w:sz w:val="28"/>
          <w:szCs w:val="28"/>
        </w:rPr>
      </w:r>
    </w:p>
    <w:p>
      <w:pPr>
        <w:pStyle w:val="1_867"/>
        <w:pBdr/>
        <w:spacing/>
        <w:ind/>
        <w:jc w:val="both"/>
        <w:rPr>
          <w:rFonts w:cs="Times New Roman"/>
          <w:b/>
          <w:bCs/>
          <w:sz w:val="28"/>
          <w:szCs w:val="28"/>
        </w:rPr>
      </w:pPr>
      <w:r>
        <w:rPr>
          <w:rFonts w:cs="Times New Roman"/>
          <w:b/>
          <w:bCs/>
          <w:sz w:val="28"/>
          <w:szCs w:val="28"/>
        </w:rPr>
      </w:r>
      <w:r>
        <w:rPr>
          <w:rFonts w:cs="Times New Roman"/>
          <w:b/>
          <w:bCs/>
          <w:sz w:val="28"/>
          <w:szCs w:val="28"/>
        </w:rPr>
      </w:r>
      <w:r>
        <w:rPr>
          <w:rFonts w:cs="Times New Roman"/>
          <w:b/>
          <w:bCs/>
          <w:sz w:val="28"/>
          <w:szCs w:val="28"/>
        </w:rPr>
      </w:r>
    </w:p>
    <w:p>
      <w:pPr>
        <w:pStyle w:val="1_867"/>
        <w:pBdr/>
        <w:spacing/>
        <w:ind/>
        <w:jc w:val="center"/>
        <w:rPr/>
      </w:pPr>
      <w:r/>
      <w:bookmarkStart w:id="3" w:name="_Hlk179183683"/>
      <w:r>
        <w:rPr>
          <w:rStyle w:val="1_866"/>
          <w:rFonts w:cs="Times New Roman"/>
          <w:b/>
          <w:sz w:val="28"/>
          <w:szCs w:val="28"/>
        </w:rPr>
        <w:t xml:space="preserve">Program Współpracy Gminy</w:t>
      </w:r>
      <w:r>
        <w:rPr>
          <w:rStyle w:val="1_866"/>
          <w:rFonts w:cs="Times New Roman"/>
          <w:b/>
          <w:bCs/>
          <w:sz w:val="28"/>
          <w:szCs w:val="28"/>
        </w:rPr>
        <w:t xml:space="preserve"> Miasta Pionki </w:t>
      </w:r>
      <w:r>
        <w:rPr>
          <w:rStyle w:val="1_866"/>
          <w:rFonts w:cs="Times New Roman"/>
          <w:b/>
          <w:bCs/>
          <w:sz w:val="28"/>
          <w:szCs w:val="28"/>
        </w:rPr>
        <w:br/>
      </w:r>
      <w:r>
        <w:rPr>
          <w:rStyle w:val="1_866"/>
          <w:rFonts w:cs="Times New Roman"/>
          <w:b/>
          <w:bCs/>
          <w:sz w:val="28"/>
          <w:szCs w:val="28"/>
        </w:rPr>
        <w:t xml:space="preserve">z organizacjami</w:t>
      </w:r>
      <w:r>
        <w:rPr>
          <w:rStyle w:val="1_866"/>
          <w:b/>
          <w:bCs/>
          <w:sz w:val="28"/>
          <w:szCs w:val="28"/>
        </w:rPr>
        <w:t xml:space="preserve"> </w:t>
      </w:r>
      <w:r>
        <w:rPr>
          <w:rStyle w:val="1_866"/>
          <w:rFonts w:cs="Times New Roman"/>
          <w:b/>
          <w:bCs/>
          <w:sz w:val="28"/>
          <w:szCs w:val="28"/>
        </w:rPr>
        <w:t xml:space="preserve">pozarządowymi podmiotami, o </w:t>
      </w:r>
      <w:r>
        <w:rPr>
          <w:rStyle w:val="1_866"/>
          <w:b/>
          <w:bCs/>
          <w:sz w:val="28"/>
          <w:szCs w:val="28"/>
        </w:rPr>
        <w:t xml:space="preserve">których mowa w art. 3 ust. 3 ustawy z dnia 24 kwietnia 2003 r. o działalności pożytku </w:t>
      </w:r>
      <w:r>
        <w:rPr>
          <w:rStyle w:val="1_866"/>
          <w:b/>
          <w:bCs/>
          <w:color w:val="auto"/>
          <w:sz w:val="28"/>
          <w:szCs w:val="28"/>
        </w:rPr>
        <w:t xml:space="preserve">publicznego</w:t>
      </w:r>
      <w:r>
        <w:rPr>
          <w:rStyle w:val="1_866"/>
          <w:b/>
          <w:bCs/>
          <w:sz w:val="28"/>
          <w:szCs w:val="28"/>
        </w:rPr>
        <w:br/>
        <w:t xml:space="preserve">i o wolontariacie </w:t>
      </w:r>
      <w:r>
        <w:rPr>
          <w:rStyle w:val="1_866"/>
          <w:rFonts w:cs="Times New Roman"/>
          <w:b/>
          <w:bCs/>
          <w:sz w:val="28"/>
          <w:szCs w:val="28"/>
        </w:rPr>
        <w:t xml:space="preserve">na 2025 rok</w:t>
      </w:r>
      <w:r/>
      <w:r/>
    </w:p>
    <w:p>
      <w:pPr>
        <w:pStyle w:val="1_867"/>
        <w:pBdr/>
        <w:spacing/>
        <w:ind/>
        <w:jc w:val="center"/>
        <w:rPr/>
      </w:pPr>
      <w:r/>
      <w:bookmarkEnd w:id="3"/>
      <w:r/>
      <w:r/>
    </w:p>
    <w:p>
      <w:pPr>
        <w:pStyle w:val="1_867"/>
        <w:pBdr/>
        <w:spacing/>
        <w:ind/>
        <w:jc w:val="both"/>
        <w:rPr>
          <w:rFonts w:cs="Times New Roman"/>
          <w:sz w:val="32"/>
          <w:szCs w:val="32"/>
        </w:rPr>
      </w:pPr>
      <w:r>
        <w:rPr>
          <w:rFonts w:cs="Times New Roman"/>
          <w:sz w:val="32"/>
          <w:szCs w:val="32"/>
        </w:rPr>
      </w:r>
      <w:r>
        <w:rPr>
          <w:rFonts w:cs="Times New Roman"/>
          <w:sz w:val="32"/>
          <w:szCs w:val="32"/>
        </w:rPr>
      </w:r>
      <w:r>
        <w:rPr>
          <w:rFonts w:cs="Times New Roman"/>
          <w:sz w:val="32"/>
          <w:szCs w:val="32"/>
        </w:rPr>
      </w:r>
    </w:p>
    <w:p>
      <w:pPr>
        <w:pStyle w:val="1_867"/>
        <w:pBdr/>
        <w:spacing/>
        <w:ind/>
        <w:jc w:val="both"/>
        <w:rPr/>
      </w:pPr>
      <w:r>
        <mc:AlternateContent>
          <mc:Choice Requires="wpg">
            <w:drawing>
              <wp:anchor xmlns:wp="http://schemas.openxmlformats.org/drawingml/2006/wordprocessingDrawing" xmlns:wp14="http://schemas.microsoft.com/office/word/2010/wordprocessingDrawing" distT="0" distB="0" distL="0" distR="0" simplePos="0" relativeHeight="251657730" behindDoc="0" locked="0" layoutInCell="1" allowOverlap="1">
                <wp:simplePos x="0" y="0"/>
                <wp:positionH relativeFrom="column">
                  <wp:posOffset>1584956</wp:posOffset>
                </wp:positionH>
                <wp:positionV relativeFrom="paragraph">
                  <wp:posOffset>122557</wp:posOffset>
                </wp:positionV>
                <wp:extent cx="2438403" cy="3209928"/>
                <wp:effectExtent l="9528" t="9528" r="9528" b="9528"/>
                <wp:wrapSquare wrapText="bothSides"/>
                <wp:docPr id="1" name="Obra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971669" name="Obraz1" descr="" title=""/>
                        <pic:cNvPicPr>
                          <a:picLocks noChangeAspect="1"/>
                        </pic:cNvPicPr>
                        <pic:nvPr/>
                      </pic:nvPicPr>
                      <pic:blipFill>
                        <a:blip r:embed="rId9">
                          <a:alphaModFix amt="100000"/>
                          <a:lum bright="0" contrast="0"/>
                        </a:blip>
                        <a:stretch/>
                      </pic:blipFill>
                      <pic:spPr bwMode="auto">
                        <a:xfrm>
                          <a:off x="0" y="0"/>
                          <a:ext cx="2438402" cy="3209927"/>
                        </a:xfrm>
                        <a:prstGeom prst="rect">
                          <a:avLst/>
                        </a:prstGeom>
                        <a:ln w="9528">
                          <a:solidFill>
                            <a:srgbClr val="000000"/>
                          </a:solidFill>
                        </a:ln>
                        <a:effectLst/>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7730;o:allowoverlap:true;o:allowincell:true;mso-position-horizontal-relative:text;margin-left:124.80pt;mso-position-horizontal:absolute;mso-position-vertical-relative:text;margin-top:9.65pt;mso-position-vertical:absolute;width:192.00pt;height:252.75pt;mso-wrap-distance-left:0.00pt;mso-wrap-distance-top:0.00pt;mso-wrap-distance-right:0.00pt;mso-wrap-distance-bottom:0.00pt;z-index:1;" strokecolor="#000000" strokeweight="0.75pt">
                <w10:wrap type="square"/>
                <v:imagedata r:id="rId9" o:title=""/>
                <o:lock v:ext="edit" rotation="t"/>
              </v:shape>
            </w:pict>
          </mc:Fallback>
        </mc:AlternateContent>
      </w:r>
      <w:r/>
      <w:r/>
    </w:p>
    <w:p>
      <w:pPr>
        <w:pStyle w:val="1_867"/>
        <w:pBdr/>
        <w:spacing/>
        <w:ind/>
        <w:jc w:val="center"/>
        <w:rPr>
          <w:rFonts w:cs="Times New Roman"/>
          <w:b/>
          <w:sz w:val="32"/>
          <w:szCs w:val="32"/>
          <w:lang w:eastAsia="pl-PL"/>
        </w:rPr>
      </w:pPr>
      <w:r>
        <w:rPr>
          <w:rFonts w:cs="Times New Roman"/>
          <w:b/>
          <w:sz w:val="32"/>
          <w:szCs w:val="32"/>
          <w:lang w:eastAsia="pl-PL"/>
        </w:rPr>
      </w:r>
      <w:r>
        <w:rPr>
          <w:rFonts w:cs="Times New Roman"/>
          <w:b/>
          <w:sz w:val="32"/>
          <w:szCs w:val="32"/>
          <w:lang w:eastAsia="pl-PL"/>
        </w:rPr>
      </w:r>
      <w:r>
        <w:rPr>
          <w:rFonts w:cs="Times New Roman"/>
          <w:b/>
          <w:sz w:val="32"/>
          <w:szCs w:val="32"/>
          <w:lang w:eastAsia="pl-PL"/>
        </w:rPr>
      </w:r>
    </w:p>
    <w:p>
      <w:pPr>
        <w:pStyle w:val="1_867"/>
        <w:pBdr/>
        <w:spacing/>
        <w:ind/>
        <w:jc w:val="both"/>
        <w:rPr/>
      </w:pPr>
      <w:r/>
      <w:r/>
      <w:r/>
    </w:p>
    <w:p>
      <w:pPr>
        <w:pStyle w:val="1_867"/>
        <w:pBdr/>
        <w:spacing/>
        <w:ind/>
        <w:jc w:val="both"/>
        <w:rPr>
          <w:rFonts w:cs="Times New Roman"/>
          <w:b/>
          <w:sz w:val="32"/>
          <w:szCs w:val="32"/>
          <w:lang w:eastAsia="pl-PL"/>
        </w:rPr>
      </w:pPr>
      <w:r>
        <w:rPr>
          <w:rFonts w:cs="Times New Roman"/>
          <w:b/>
          <w:sz w:val="32"/>
          <w:szCs w:val="32"/>
          <w:lang w:eastAsia="pl-PL"/>
        </w:rPr>
      </w:r>
      <w:r>
        <w:rPr>
          <w:rFonts w:cs="Times New Roman"/>
          <w:b/>
          <w:sz w:val="32"/>
          <w:szCs w:val="32"/>
          <w:lang w:eastAsia="pl-PL"/>
        </w:rPr>
      </w:r>
      <w:r>
        <w:rPr>
          <w:rFonts w:cs="Times New Roman"/>
          <w:b/>
          <w:sz w:val="32"/>
          <w:szCs w:val="32"/>
          <w:lang w:eastAsia="pl-PL"/>
        </w:rPr>
      </w:r>
    </w:p>
    <w:p>
      <w:pPr>
        <w:pStyle w:val="1_867"/>
        <w:pBdr/>
        <w:spacing/>
        <w:ind/>
        <w:jc w:val="both"/>
        <w:rPr>
          <w:rFonts w:cs="Times New Roman"/>
          <w:b/>
          <w:sz w:val="32"/>
          <w:szCs w:val="32"/>
          <w:lang w:eastAsia="pl-PL"/>
        </w:rPr>
      </w:pPr>
      <w:r>
        <w:rPr>
          <w:rFonts w:cs="Times New Roman"/>
          <w:b/>
          <w:sz w:val="32"/>
          <w:szCs w:val="32"/>
          <w:lang w:eastAsia="pl-PL"/>
        </w:rPr>
      </w:r>
      <w:r>
        <w:rPr>
          <w:rFonts w:cs="Times New Roman"/>
          <w:b/>
          <w:sz w:val="32"/>
          <w:szCs w:val="32"/>
          <w:lang w:eastAsia="pl-PL"/>
        </w:rPr>
      </w:r>
      <w:r>
        <w:rPr>
          <w:rFonts w:cs="Times New Roman"/>
          <w:b/>
          <w:sz w:val="32"/>
          <w:szCs w:val="32"/>
          <w:lang w:eastAsia="pl-PL"/>
        </w:rPr>
      </w:r>
    </w:p>
    <w:p>
      <w:pPr>
        <w:pStyle w:val="1_867"/>
        <w:pBdr/>
        <w:spacing/>
        <w:ind/>
        <w:jc w:val="both"/>
        <w:rPr>
          <w:rFonts w:cs="Times New Roman"/>
          <w:b/>
          <w:lang w:eastAsia="pl-PL"/>
        </w:rPr>
      </w:pPr>
      <w:r>
        <w:rPr>
          <w:rFonts w:cs="Times New Roman"/>
          <w:b/>
          <w:lang w:eastAsia="pl-PL"/>
        </w:rPr>
      </w:r>
      <w:r>
        <w:rPr>
          <w:rFonts w:cs="Times New Roman"/>
          <w:b/>
          <w:lang w:eastAsia="pl-PL"/>
        </w:rPr>
      </w:r>
      <w:r>
        <w:rPr>
          <w:rFonts w:cs="Times New Roman"/>
          <w:b/>
          <w:lang w:eastAsia="pl-PL"/>
        </w:rPr>
      </w:r>
    </w:p>
    <w:p>
      <w:pPr>
        <w:pStyle w:val="1_867"/>
        <w:pBdr/>
        <w:spacing/>
        <w:ind/>
        <w:jc w:val="both"/>
        <w:rPr>
          <w:rFonts w:cs="Times New Roman"/>
          <w:b/>
          <w:lang w:eastAsia="pl-PL"/>
        </w:rPr>
      </w:pPr>
      <w:r>
        <w:rPr>
          <w:rFonts w:cs="Times New Roman"/>
          <w:b/>
          <w:lang w:eastAsia="pl-PL"/>
        </w:rPr>
      </w:r>
      <w:r>
        <w:rPr>
          <w:rFonts w:cs="Times New Roman"/>
          <w:b/>
          <w:lang w:eastAsia="pl-PL"/>
        </w:rPr>
      </w:r>
      <w:r>
        <w:rPr>
          <w:rFonts w:cs="Times New Roman"/>
          <w:b/>
          <w:lang w:eastAsia="pl-PL"/>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pPr>
      <w:r>
        <w:rPr>
          <w:rStyle w:val="1_866"/>
          <w:rFonts w:cs="Times New Roman"/>
        </w:rPr>
        <mc:AlternateContent>
          <mc:Choice Requires="wpg">
            <w:drawing>
              <wp:anchor xmlns:wp="http://schemas.openxmlformats.org/drawingml/2006/wordprocessingDrawing" xmlns:wp14="http://schemas.microsoft.com/office/word/2010/wordprocessingDrawing" distT="0" distB="0" distL="0" distR="0" simplePos="0" relativeHeight="251658754" behindDoc="0" locked="0" layoutInCell="1" allowOverlap="1">
                <wp:simplePos x="0" y="0"/>
                <wp:positionH relativeFrom="column">
                  <wp:posOffset>2021208</wp:posOffset>
                </wp:positionH>
                <wp:positionV relativeFrom="paragraph">
                  <wp:posOffset>65407</wp:posOffset>
                </wp:positionV>
                <wp:extent cx="1686601" cy="1686601"/>
                <wp:effectExtent l="9528" t="9528" r="9528" b="9528"/>
                <wp:wrapSquare wrapText="bothSides"/>
                <wp:docPr id="2" name="Obra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39661" name="Obraz2" descr="" title=""/>
                        <pic:cNvPicPr>
                          <a:picLocks noChangeAspect="1"/>
                        </pic:cNvPicPr>
                        <pic:nvPr/>
                      </pic:nvPicPr>
                      <pic:blipFill>
                        <a:blip r:embed="rId10">
                          <a:alphaModFix amt="100000"/>
                          <a:lum bright="0" contrast="0"/>
                        </a:blip>
                        <a:stretch/>
                      </pic:blipFill>
                      <pic:spPr bwMode="auto">
                        <a:xfrm>
                          <a:off x="0" y="0"/>
                          <a:ext cx="1686600" cy="1686600"/>
                        </a:xfrm>
                        <a:prstGeom prst="rect">
                          <a:avLst/>
                        </a:prstGeom>
                        <a:ln w="9528">
                          <a:solidFill>
                            <a:srgbClr val="000000"/>
                          </a:solidFill>
                        </a:ln>
                        <a:effectLst/>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658754;o:allowoverlap:true;o:allowincell:true;mso-position-horizontal-relative:text;margin-left:159.15pt;mso-position-horizontal:absolute;mso-position-vertical-relative:text;margin-top:5.15pt;mso-position-vertical:absolute;width:132.80pt;height:132.80pt;mso-wrap-distance-left:0.00pt;mso-wrap-distance-top:0.00pt;mso-wrap-distance-right:0.00pt;mso-wrap-distance-bottom:0.00pt;z-index:1;" strokecolor="#000000" strokeweight="0.75pt">
                <w10:wrap type="square"/>
                <v:imagedata r:id="rId10" o:title=""/>
                <o:lock v:ext="edit" rotation="t"/>
              </v:shape>
            </w:pict>
          </mc:Fallback>
        </mc:AlternateContent>
      </w:r>
      <w:r/>
      <w:r/>
    </w:p>
    <w:p>
      <w:pPr>
        <w:pStyle w:val="1_867"/>
        <w:pBdr/>
        <w:spacing/>
        <w:ind/>
        <w:jc w:val="both"/>
        <w:rPr>
          <w:rFonts w:cs="Times New Roman"/>
        </w:rPr>
      </w:pPr>
      <w:r>
        <w:rPr>
          <w:rFonts w:cs="Times New Roman"/>
        </w:rPr>
        <w:tab/>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pPr>
      <w:r/>
      <w: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rFonts w:cs="Times New Roman"/>
        </w:rPr>
      </w:pPr>
      <w:r>
        <w:rPr>
          <w:rFonts w:cs="Times New Roman"/>
        </w:rPr>
      </w:r>
      <w:r>
        <w:rPr>
          <w:rFonts w:cs="Times New Roman"/>
        </w:rPr>
      </w:r>
      <w:r>
        <w:rPr>
          <w:rFonts w:cs="Times New Roman"/>
        </w:rPr>
      </w:r>
    </w:p>
    <w:p>
      <w:pPr>
        <w:pStyle w:val="1_867"/>
        <w:pBdr/>
        <w:spacing/>
        <w:ind/>
        <w:jc w:val="both"/>
        <w:rPr/>
      </w:pPr>
      <w:r/>
      <w:r/>
      <w:r/>
    </w:p>
    <w:p>
      <w:pPr>
        <w:pStyle w:val="1_867"/>
        <w:pBdr/>
        <w:spacing/>
        <w:ind/>
        <w:jc w:val="center"/>
        <w:rPr/>
      </w:pPr>
      <w:r/>
      <w:r/>
      <w:r/>
    </w:p>
    <w:p>
      <w:pPr>
        <w:pStyle w:val="1_867"/>
        <w:pBdr/>
        <w:spacing/>
        <w:ind/>
        <w:jc w:val="center"/>
        <w:rPr/>
      </w:pPr>
      <w:r/>
      <w:r/>
      <w:r/>
    </w:p>
    <w:p>
      <w:pPr>
        <w:pStyle w:val="1_867"/>
        <w:pBdr/>
        <w:spacing/>
        <w:ind/>
        <w:jc w:val="center"/>
        <w:rPr>
          <w:rFonts w:cs="Times New Roman"/>
          <w:b/>
          <w:bCs/>
          <w:sz w:val="36"/>
          <w:szCs w:val="36"/>
        </w:rPr>
      </w:pPr>
      <w:r>
        <w:rPr>
          <w:rFonts w:cs="Times New Roman"/>
          <w:b/>
          <w:bCs/>
          <w:sz w:val="36"/>
          <w:szCs w:val="36"/>
        </w:rPr>
        <w:t xml:space="preserve">Pionki, październik 2024 r.</w:t>
      </w:r>
      <w:r>
        <w:rPr>
          <w:rFonts w:cs="Times New Roman"/>
          <w:b/>
          <w:bCs/>
          <w:sz w:val="36"/>
          <w:szCs w:val="36"/>
        </w:rPr>
      </w:r>
      <w:r>
        <w:rPr>
          <w:rFonts w:cs="Times New Roman"/>
          <w:b/>
          <w:bCs/>
          <w:sz w:val="36"/>
          <w:szCs w:val="36"/>
        </w:rPr>
      </w:r>
    </w:p>
    <w:p>
      <w:pPr>
        <w:pStyle w:val="1_867"/>
        <w:pBdr/>
        <w:spacing w:line="276" w:lineRule="auto"/>
        <w:ind/>
        <w:jc w:val="center"/>
        <w:rPr>
          <w:rFonts w:cs="Times New Roman"/>
          <w:b/>
          <w:bCs/>
          <w:sz w:val="28"/>
          <w:szCs w:val="28"/>
        </w:rPr>
      </w:pPr>
      <w:r>
        <w:rPr>
          <w:rFonts w:cs="Times New Roman"/>
          <w:b/>
          <w:bCs/>
          <w:sz w:val="28"/>
          <w:szCs w:val="28"/>
        </w:rPr>
        <w:t xml:space="preserve">PROGRAM WSPÓŁPRACY GMINY MIASTA PIONKI</w:t>
      </w:r>
      <w:r>
        <w:rPr>
          <w:rFonts w:cs="Times New Roman"/>
          <w:b/>
          <w:bCs/>
          <w:sz w:val="28"/>
          <w:szCs w:val="28"/>
        </w:rPr>
      </w:r>
      <w:r>
        <w:rPr>
          <w:rFonts w:cs="Times New Roman"/>
          <w:b/>
          <w:bCs/>
          <w:sz w:val="28"/>
          <w:szCs w:val="28"/>
        </w:rPr>
      </w:r>
    </w:p>
    <w:p>
      <w:pPr>
        <w:pStyle w:val="1_867"/>
        <w:pBdr/>
        <w:spacing w:line="276" w:lineRule="auto"/>
        <w:ind/>
        <w:jc w:val="center"/>
        <w:rPr>
          <w:rFonts w:cs="Times New Roman"/>
          <w:b/>
          <w:bCs/>
          <w:sz w:val="28"/>
          <w:szCs w:val="28"/>
        </w:rPr>
      </w:pPr>
      <w:r>
        <w:rPr>
          <w:rFonts w:cs="Times New Roman"/>
          <w:b/>
          <w:bCs/>
          <w:sz w:val="28"/>
          <w:szCs w:val="28"/>
        </w:rPr>
        <w:t xml:space="preserve">Z ORGANIZACJAMI POZARZĄDOWYMI PODMIOTAMI, O KTÓRYCH MOWA W ART. 3 UST. 3 USTAWY Z DNIA 24 KWIETNIA 2003 R.</w:t>
      </w:r>
      <w:r>
        <w:rPr>
          <w:rFonts w:cs="Times New Roman"/>
          <w:b/>
          <w:bCs/>
          <w:sz w:val="28"/>
          <w:szCs w:val="28"/>
        </w:rPr>
      </w:r>
      <w:r>
        <w:rPr>
          <w:rFonts w:cs="Times New Roman"/>
          <w:b/>
          <w:bCs/>
          <w:sz w:val="28"/>
          <w:szCs w:val="28"/>
        </w:rPr>
      </w:r>
    </w:p>
    <w:p>
      <w:pPr>
        <w:pStyle w:val="1_867"/>
        <w:pBdr/>
        <w:spacing w:line="276" w:lineRule="auto"/>
        <w:ind/>
        <w:jc w:val="center"/>
        <w:rPr>
          <w:rFonts w:cs="Times New Roman"/>
          <w:b/>
          <w:bCs/>
          <w:sz w:val="28"/>
          <w:szCs w:val="28"/>
        </w:rPr>
      </w:pPr>
      <w:r>
        <w:rPr>
          <w:rFonts w:cs="Times New Roman"/>
          <w:b/>
          <w:bCs/>
          <w:sz w:val="28"/>
          <w:szCs w:val="28"/>
        </w:rPr>
        <w:t xml:space="preserve">O DZIAŁALNOŚCI POŻYTKU PUBLICZNEGO I O WOLONTARIACIE</w:t>
      </w:r>
      <w:r>
        <w:rPr>
          <w:rFonts w:cs="Times New Roman"/>
          <w:b/>
          <w:bCs/>
          <w:sz w:val="28"/>
          <w:szCs w:val="28"/>
        </w:rPr>
      </w:r>
      <w:r>
        <w:rPr>
          <w:rFonts w:cs="Times New Roman"/>
          <w:b/>
          <w:bCs/>
          <w:sz w:val="28"/>
          <w:szCs w:val="28"/>
        </w:rPr>
      </w:r>
    </w:p>
    <w:p>
      <w:pPr>
        <w:pStyle w:val="1_867"/>
        <w:pBdr/>
        <w:spacing w:line="276" w:lineRule="auto"/>
        <w:ind/>
        <w:jc w:val="center"/>
        <w:rPr>
          <w:rFonts w:cs="Times New Roman"/>
          <w:b/>
          <w:bCs/>
          <w:sz w:val="28"/>
          <w:szCs w:val="28"/>
        </w:rPr>
      </w:pPr>
      <w:r>
        <w:rPr>
          <w:rFonts w:cs="Times New Roman"/>
          <w:b/>
          <w:bCs/>
          <w:sz w:val="28"/>
          <w:szCs w:val="28"/>
        </w:rPr>
        <w:t xml:space="preserve">NA 2025 ROK</w:t>
      </w:r>
      <w:r>
        <w:rPr>
          <w:rFonts w:cs="Times New Roman"/>
          <w:b/>
          <w:bCs/>
          <w:sz w:val="28"/>
          <w:szCs w:val="28"/>
        </w:rPr>
      </w:r>
      <w:r>
        <w:rPr>
          <w:rFonts w:cs="Times New Roman"/>
          <w:b/>
          <w:bCs/>
          <w:sz w:val="28"/>
          <w:szCs w:val="28"/>
        </w:rPr>
      </w:r>
    </w:p>
    <w:p>
      <w:pPr>
        <w:pStyle w:val="1_867"/>
        <w:pBdr/>
        <w:spacing w:line="276" w:lineRule="auto"/>
        <w:ind/>
        <w:jc w:val="center"/>
        <w:rPr>
          <w:rFonts w:cs="Times New Roman"/>
          <w:b/>
          <w:bCs/>
          <w:sz w:val="28"/>
          <w:szCs w:val="28"/>
        </w:rPr>
      </w:pPr>
      <w:r>
        <w:rPr>
          <w:rFonts w:cs="Times New Roman"/>
          <w:b/>
          <w:bCs/>
          <w:sz w:val="28"/>
          <w:szCs w:val="28"/>
        </w:rPr>
      </w:r>
      <w:r>
        <w:rPr>
          <w:rFonts w:cs="Times New Roman"/>
          <w:b/>
          <w:bCs/>
          <w:sz w:val="28"/>
          <w:szCs w:val="28"/>
        </w:rPr>
      </w:r>
      <w:r>
        <w:rPr>
          <w:rFonts w:cs="Times New Roman"/>
          <w:b/>
          <w:bCs/>
          <w:sz w:val="28"/>
          <w:szCs w:val="28"/>
        </w:rPr>
      </w:r>
    </w:p>
    <w:p>
      <w:pPr>
        <w:pStyle w:val="1_867"/>
        <w:pBdr/>
        <w:spacing w:line="276" w:lineRule="auto"/>
        <w:ind/>
        <w:jc w:val="center"/>
        <w:rPr>
          <w:rFonts w:cs="Times New Roman"/>
          <w:b/>
          <w:bCs/>
          <w:sz w:val="28"/>
          <w:szCs w:val="28"/>
        </w:rPr>
      </w:pPr>
      <w:r>
        <w:rPr>
          <w:rFonts w:cs="Times New Roman"/>
          <w:b/>
          <w:bCs/>
          <w:sz w:val="28"/>
          <w:szCs w:val="28"/>
        </w:rPr>
        <w:t xml:space="preserve">WSTĘP</w:t>
      </w:r>
      <w:r>
        <w:rPr>
          <w:rFonts w:cs="Times New Roman"/>
          <w:b/>
          <w:bCs/>
          <w:sz w:val="28"/>
          <w:szCs w:val="28"/>
        </w:rPr>
      </w:r>
      <w:r>
        <w:rPr>
          <w:rFonts w:cs="Times New Roman"/>
          <w:b/>
          <w:bCs/>
          <w:sz w:val="28"/>
          <w:szCs w:val="28"/>
        </w:rPr>
      </w:r>
    </w:p>
    <w:p>
      <w:pPr>
        <w:pStyle w:val="1_867"/>
        <w:pBdr/>
        <w:spacing w:line="276" w:lineRule="auto"/>
        <w:ind/>
        <w:jc w:val="both"/>
        <w:rPr>
          <w:rFonts w:cs="Times New Roman"/>
          <w:bCs/>
          <w:i/>
          <w:iCs/>
        </w:rPr>
      </w:pPr>
      <w:r>
        <w:rPr>
          <w:rFonts w:cs="Times New Roman"/>
          <w:bCs/>
          <w:i/>
          <w:iCs/>
        </w:rPr>
      </w:r>
      <w:r>
        <w:rPr>
          <w:rFonts w:cs="Times New Roman"/>
          <w:bCs/>
          <w:i/>
          <w:iCs/>
        </w:rPr>
      </w:r>
      <w:r>
        <w:rPr>
          <w:rFonts w:cs="Times New Roman"/>
          <w:bCs/>
          <w:i/>
          <w:iCs/>
        </w:rPr>
      </w:r>
    </w:p>
    <w:p>
      <w:pPr>
        <w:pStyle w:val="1_867"/>
        <w:pBdr/>
        <w:spacing w:line="276" w:lineRule="auto"/>
        <w:ind/>
        <w:jc w:val="both"/>
        <w:rPr>
          <w:rFonts w:cs="Times New Roman"/>
          <w:b/>
          <w:bCs/>
        </w:rPr>
      </w:pPr>
      <w:r>
        <w:rPr>
          <w:rFonts w:cs="Times New Roman"/>
          <w:b/>
          <w:bCs/>
        </w:rPr>
        <w:t xml:space="preserve">Jednym z podstawowych zadań Gminy Miasta Pionki jest kształtowanie demokratycznego ładu społecznego w środowisku lokalnym, poprzez budowanie partnerstwa pomiędzy administracją publiczną a organizacjami pozarządowymi.</w:t>
      </w:r>
      <w:r>
        <w:rPr>
          <w:rFonts w:cs="Times New Roman"/>
          <w:b/>
          <w:bCs/>
        </w:rPr>
      </w:r>
      <w:r>
        <w:rPr>
          <w:rFonts w:cs="Times New Roman"/>
          <w:b/>
          <w:bCs/>
        </w:rPr>
      </w:r>
    </w:p>
    <w:p>
      <w:pPr>
        <w:pStyle w:val="1_867"/>
        <w:pBdr/>
        <w:spacing w:line="276" w:lineRule="auto"/>
        <w:ind/>
        <w:jc w:val="both"/>
        <w:rPr>
          <w:rFonts w:cs="Times New Roman"/>
        </w:rPr>
      </w:pPr>
      <w:r>
        <w:rPr>
          <w:rFonts w:cs="Times New Roman"/>
        </w:rPr>
        <w:tab/>
        <w:t xml:space="preserve">Organizacje pozarządowe obok sektora publiczne</w:t>
      </w:r>
      <w:r>
        <w:rPr>
          <w:rFonts w:cs="Times New Roman"/>
        </w:rPr>
        <w:t xml:space="preserve">go i prywatnego, są trzecim sektorem działającym na rzecz dobra publicznego. Stanowią one bazę dla rozwoju lokalnych społeczności, zrzeszają bowiem najaktywniejszych i najbardziej wrażliwych na sprawy społeczne i kulturalne mieszkańców Gminy Miasta Pionki.</w:t>
      </w:r>
      <w:r>
        <w:rPr>
          <w:rFonts w:cs="Times New Roman"/>
        </w:rPr>
      </w:r>
      <w:r>
        <w:rPr>
          <w:rFonts w:cs="Times New Roman"/>
        </w:rPr>
      </w:r>
    </w:p>
    <w:p>
      <w:pPr>
        <w:pStyle w:val="1_867"/>
        <w:pBdr/>
        <w:spacing w:line="276" w:lineRule="auto"/>
        <w:ind/>
        <w:jc w:val="both"/>
        <w:rPr>
          <w:rFonts w:cs="Times New Roman"/>
        </w:rPr>
      </w:pPr>
      <w:r>
        <w:rPr>
          <w:rFonts w:cs="Times New Roman"/>
        </w:rPr>
        <w:tab/>
        <w:t xml:space="preserve">W o</w:t>
      </w:r>
      <w:r>
        <w:rPr>
          <w:rFonts w:cs="Times New Roman"/>
        </w:rPr>
        <w:t xml:space="preserve">statnich czasach znacznie wzrosła rola organizacji pozarządowych w Polsce. Zaobserwować można duży rozwój sektora organizacji pozarządowych, które stanowią bardzo ważny element sprawnie funkcjonującego społeczeństwa obywatelskiego w środowiskach lokalnych.</w:t>
      </w:r>
      <w:r>
        <w:rPr>
          <w:rFonts w:cs="Times New Roman"/>
        </w:rPr>
      </w:r>
      <w:r>
        <w:rPr>
          <w:rFonts w:cs="Times New Roman"/>
        </w:rPr>
      </w:r>
    </w:p>
    <w:p>
      <w:pPr>
        <w:pStyle w:val="1_867"/>
        <w:pBdr/>
        <w:spacing w:line="276" w:lineRule="auto"/>
        <w:ind/>
        <w:jc w:val="both"/>
        <w:rPr>
          <w:rFonts w:cs="Times New Roman"/>
        </w:rPr>
      </w:pPr>
      <w:r>
        <w:rPr>
          <w:rFonts w:cs="Times New Roman"/>
        </w:rPr>
        <w:t xml:space="preserve">Aktywna współpraca z organizacjami pozarządowymi jest jednym z elementów e</w:t>
      </w:r>
      <w:r>
        <w:rPr>
          <w:rFonts w:cs="Times New Roman"/>
        </w:rPr>
        <w:t xml:space="preserve">fektywnego kierowania rozwojem gminy, ponieważ to właśnie organizacje pozarządowe stanowią znakomitą bazę dla rozwoju i budowania partnerstwa. Istotne znaczenie ma, zarówno wymiana doświadczeń między organizacjami, jak ich współpraca z sektorem publicznym.</w:t>
      </w:r>
      <w:r>
        <w:rPr>
          <w:rFonts w:cs="Times New Roman"/>
        </w:rPr>
      </w:r>
      <w:r>
        <w:rPr>
          <w:rFonts w:cs="Times New Roman"/>
        </w:rPr>
      </w:r>
    </w:p>
    <w:p>
      <w:pPr>
        <w:pStyle w:val="1_867"/>
        <w:pBdr/>
        <w:spacing w:line="276" w:lineRule="auto"/>
        <w:ind/>
        <w:jc w:val="both"/>
        <w:rPr>
          <w:rFonts w:cs="Times New Roman"/>
        </w:rPr>
      </w:pPr>
      <w:r>
        <w:rPr>
          <w:rFonts w:cs="Times New Roman"/>
        </w:rPr>
        <w:tab/>
        <w:t xml:space="preserve">Współpraca samorządu gminy z organizacjami pozarządowymi stwarza szansę na lepsze zorganizowanie wspólnego celu, jakim jest poprawa jakości życia mieszkańców Gminy Miasta Pionki. Niezmiernie</w:t>
      </w:r>
      <w:r>
        <w:rPr>
          <w:rFonts w:cs="Times New Roman"/>
        </w:rPr>
        <w:t xml:space="preserve"> ważne jest więc budowanie i utrwalanie podstaw trwałej i systematycznej współpracy administracji samorządowej  na tym szczeblu z organizacjami pozarządowymi. Podstawowymi korzyściami współpracy są, między innymi: umacnianie społecznej świadomości poczucia</w:t>
      </w:r>
      <w:r>
        <w:rPr>
          <w:rFonts w:cs="Times New Roman"/>
        </w:rPr>
        <w:t xml:space="preserve"> odpowiedzialności za siebie i swoje otoczenie, budowanie społeczeństwa obywatelskiego poprzez aktywowanie społeczności lokalnych oraz wprowadzanie nowatorskich i bardziej efektywnych działań oraz rozwiązań dzięki dobremu rozpoznaniu występujących potrzeb.</w:t>
      </w:r>
      <w:r>
        <w:rPr>
          <w:rFonts w:cs="Times New Roman"/>
        </w:rPr>
      </w:r>
      <w:r>
        <w:rPr>
          <w:rFonts w:cs="Times New Roman"/>
        </w:rPr>
      </w:r>
    </w:p>
    <w:p>
      <w:pPr>
        <w:pStyle w:val="1_867"/>
        <w:pBdr/>
        <w:spacing w:line="276" w:lineRule="auto"/>
        <w:ind/>
        <w:jc w:val="both"/>
        <w:rPr/>
      </w:pPr>
      <w:r>
        <w:rPr>
          <w:rStyle w:val="1_866"/>
          <w:rFonts w:cs="Times New Roman"/>
        </w:rPr>
        <w:t xml:space="preserve">Niniejszy program powstał w oparciu o wiedzę i praktykę samorządowców oraz organizacji pozarządowych jako wspólny wyraz dążenia do realizacji zaspokajania potrzeb społeczności lokalnej. Jest on potwierdzeniem istotnego miejsca zajmowanego w modelu lokalnej</w:t>
      </w:r>
      <w:r>
        <w:rPr>
          <w:rStyle w:val="1_866"/>
          <w:rFonts w:cs="Times New Roman"/>
        </w:rPr>
        <w:t xml:space="preserve"> demokracji przez organizacje pozarządowe. Przyjmując Program Współpracy Gminy Miasta Pionki                           z organizacjami pozarządowymi i innymi podmiotami prowadzącymi działalność pożytku publicznego na rok 2025, wyrażamy wolę budowania dialo</w:t>
      </w:r>
      <w:r>
        <w:rPr>
          <w:rStyle w:val="1_866"/>
          <w:rFonts w:cs="Times New Roman"/>
        </w:rPr>
        <w:t xml:space="preserve">gu obywatelskiego, umacniania poczucia odpowiedzialności za siebie i swoje otoczenie oraz wprowadzanie nowatorskich i bardziej efektywnych inicjatyw, dzięki lepszemu rozpoznawaniu występujących potrzeb.</w:t>
      </w:r>
      <w:r/>
      <w:r/>
    </w:p>
    <w:p>
      <w:pPr>
        <w:pStyle w:val="1_867"/>
        <w:pBdr/>
        <w:spacing w:line="276" w:lineRule="auto"/>
        <w:ind/>
        <w:jc w:val="both"/>
        <w:rPr/>
      </w:pPr>
      <w:r/>
      <w:r/>
      <w:r/>
    </w:p>
    <w:p>
      <w:pPr>
        <w:pStyle w:val="1_867"/>
        <w:pBdr/>
        <w:spacing w:line="276" w:lineRule="auto"/>
        <w:ind/>
        <w:jc w:val="both"/>
        <w:rPr/>
      </w:pPr>
      <w:r>
        <w:rPr>
          <w:rStyle w:val="1_866"/>
          <w:b/>
          <w:bCs/>
          <w:sz w:val="26"/>
          <w:szCs w:val="26"/>
        </w:rPr>
        <w:t xml:space="preserve">Rozdział I.</w:t>
      </w:r>
      <w:r>
        <w:rPr>
          <w:rStyle w:val="1_866"/>
          <w:sz w:val="26"/>
          <w:szCs w:val="26"/>
        </w:rPr>
        <w:t xml:space="preserve"> </w:t>
      </w:r>
      <w:r>
        <w:rPr>
          <w:rStyle w:val="1_866"/>
          <w:b/>
          <w:bCs/>
          <w:sz w:val="26"/>
          <w:szCs w:val="26"/>
        </w:rPr>
        <w:t xml:space="preserve">Informacje ogólne</w:t>
      </w:r>
      <w:r/>
      <w:r/>
    </w:p>
    <w:p>
      <w:pPr>
        <w:pStyle w:val="1_867"/>
        <w:pBdr/>
        <w:spacing w:line="276" w:lineRule="auto"/>
        <w:ind/>
        <w:jc w:val="both"/>
        <w:rPr/>
      </w:pPr>
      <w:r/>
      <w:r/>
      <w:r/>
    </w:p>
    <w:p>
      <w:pPr>
        <w:pStyle w:val="1_867"/>
        <w:pBdr/>
        <w:spacing w:line="276" w:lineRule="auto"/>
        <w:ind/>
        <w:jc w:val="both"/>
        <w:rPr/>
      </w:pPr>
      <w:r>
        <w:rPr>
          <w:rStyle w:val="1_866"/>
          <w:rFonts w:cs="Times New Roman"/>
          <w:b/>
          <w:bCs/>
        </w:rPr>
        <w:t xml:space="preserve">§ </w:t>
      </w:r>
      <w:r>
        <w:rPr>
          <w:rStyle w:val="1_866"/>
          <w:rFonts w:cs="Tahoma"/>
          <w:b/>
          <w:bCs/>
        </w:rPr>
        <w:t xml:space="preserve">1. </w:t>
      </w:r>
      <w:r>
        <w:rPr>
          <w:rStyle w:val="1_866"/>
          <w:rFonts w:cs="Tahoma"/>
        </w:rPr>
        <w:t xml:space="preserve">Ilekroć w Programie Współpracy Gminy Miasta Pionki z organizacjami pozarządowymi i innymi podmiotami jest mowa o:</w:t>
      </w:r>
      <w:r/>
      <w:r/>
    </w:p>
    <w:p>
      <w:pPr>
        <w:pStyle w:val="1_867"/>
        <w:numPr>
          <w:ilvl w:val="1"/>
          <w:numId w:val="1"/>
        </w:numPr>
        <w:pBdr/>
        <w:spacing w:line="276" w:lineRule="auto"/>
        <w:ind/>
        <w:jc w:val="both"/>
        <w:rPr/>
      </w:pPr>
      <w:r>
        <w:rPr>
          <w:rStyle w:val="1_866"/>
          <w:rFonts w:cs="Tahoma"/>
          <w:b/>
          <w:bCs/>
        </w:rPr>
        <w:t xml:space="preserve">ustawie</w:t>
      </w:r>
      <w:r>
        <w:rPr>
          <w:rStyle w:val="1_866"/>
          <w:rFonts w:cs="Tahoma"/>
        </w:rPr>
        <w:t xml:space="preserve"> – należy przez to rozumieć ustawę z dnia 24 kwietnia 2003 r. o działalności</w:t>
      </w:r>
      <w:r/>
      <w:r/>
    </w:p>
    <w:p>
      <w:pPr>
        <w:pStyle w:val="1_867"/>
        <w:pBdr/>
        <w:spacing w:line="276" w:lineRule="auto"/>
        <w:ind/>
        <w:jc w:val="both"/>
        <w:rPr/>
      </w:pPr>
      <w:r>
        <w:rPr>
          <w:rStyle w:val="1_866"/>
          <w:rFonts w:cs="Tahoma"/>
        </w:rPr>
        <w:tab/>
        <w:t xml:space="preserve">      pożytku publicznego i o </w:t>
      </w:r>
      <w:r>
        <w:rPr>
          <w:rStyle w:val="1_866"/>
          <w:rFonts w:cs="Tahoma"/>
        </w:rPr>
        <w:t xml:space="preserve">wolontariacie (</w:t>
      </w:r>
      <w:r>
        <w:t xml:space="preserve">Dz. U. z 2023 r. poz. 571</w:t>
      </w:r>
      <w:r>
        <w:rPr>
          <w:rStyle w:val="1_866"/>
          <w:rFonts w:cs="Tahoma"/>
        </w:rPr>
        <w:t xml:space="preserve">);</w:t>
      </w:r>
      <w:r/>
      <w:r/>
    </w:p>
    <w:p>
      <w:pPr>
        <w:pStyle w:val="1_867"/>
        <w:numPr>
          <w:ilvl w:val="1"/>
          <w:numId w:val="1"/>
        </w:numPr>
        <w:pBdr/>
        <w:spacing w:line="276" w:lineRule="auto"/>
        <w:ind/>
        <w:jc w:val="both"/>
        <w:rPr/>
      </w:pPr>
      <w:r>
        <w:rPr>
          <w:rStyle w:val="1_866"/>
          <w:rFonts w:cs="Tahoma"/>
          <w:b/>
          <w:bCs/>
        </w:rPr>
        <w:t xml:space="preserve">programie – </w:t>
      </w:r>
      <w:r>
        <w:rPr>
          <w:rStyle w:val="1_866"/>
          <w:rFonts w:cs="Tahoma"/>
        </w:rPr>
        <w:t xml:space="preserve">rozumie się przez to </w:t>
      </w:r>
      <w:r>
        <w:rPr>
          <w:rStyle w:val="1_866"/>
          <w:rFonts w:cs="Times New Roman"/>
        </w:rPr>
        <w:t xml:space="preserve">Program Współpracy Gminy Miasta Pionki </w:t>
      </w:r>
      <w:r>
        <w:rPr>
          <w:rStyle w:val="1_866"/>
          <w:rFonts w:cs="Times New Roman"/>
        </w:rPr>
        <w:br/>
      </w:r>
      <w:r>
        <w:rPr>
          <w:rStyle w:val="1_866"/>
          <w:rFonts w:cs="Times New Roman"/>
        </w:rPr>
        <w:t xml:space="preserve">z organizacjami</w:t>
      </w:r>
      <w:r>
        <w:rPr>
          <w:rStyle w:val="1_866"/>
          <w:rFonts w:cs="Tahoma"/>
        </w:rPr>
        <w:t xml:space="preserve"> </w:t>
      </w:r>
      <w:r>
        <w:rPr>
          <w:rStyle w:val="1_866"/>
          <w:rFonts w:cs="Times New Roman"/>
        </w:rPr>
        <w:t xml:space="preserve">pozarządowymi podmiotami, o </w:t>
      </w:r>
      <w:r>
        <w:rPr>
          <w:rStyle w:val="1_866"/>
          <w:rFonts w:cs="Tahoma"/>
        </w:rPr>
        <w:t xml:space="preserve">których mowa w art. 3 ust. 3 ustawy </w:t>
      </w:r>
      <w:r>
        <w:rPr>
          <w:rStyle w:val="1_866"/>
          <w:rFonts w:cs="Tahoma"/>
        </w:rPr>
        <w:br/>
      </w:r>
      <w:r>
        <w:rPr>
          <w:rStyle w:val="1_866"/>
          <w:rFonts w:cs="Tahoma"/>
        </w:rPr>
        <w:t xml:space="preserve">z dnia 24 kwietnia 2003 r. o działalności pożytku </w:t>
      </w:r>
      <w:r>
        <w:rPr>
          <w:rStyle w:val="1_866"/>
          <w:rFonts w:cs="Tahoma"/>
        </w:rPr>
        <w:t xml:space="preserve">publicznego i o wolontariacie </w:t>
      </w:r>
      <w:r>
        <w:rPr>
          <w:rStyle w:val="1_866"/>
          <w:rFonts w:cs="Times New Roman"/>
        </w:rPr>
        <w:t xml:space="preserve">na 2024 rok</w:t>
      </w:r>
      <w:r>
        <w:rPr>
          <w:rStyle w:val="1_866"/>
          <w:rFonts w:cs="Tahoma"/>
        </w:rPr>
        <w:t xml:space="preserve">, o którym mowa w art. 5a ustawy z dnia 24 kwietnia 2003 r. o działalności pożytku publicznego i o wolontariacie (</w:t>
      </w:r>
      <w:r>
        <w:t xml:space="preserve">Dz. U. z 2023 r. poz. 571</w:t>
      </w:r>
      <w:r>
        <w:rPr>
          <w:rStyle w:val="1_866"/>
          <w:rFonts w:cs="Tahoma"/>
        </w:rPr>
        <w:t xml:space="preserve">);</w:t>
      </w:r>
      <w:r/>
      <w:r/>
    </w:p>
    <w:p>
      <w:pPr>
        <w:pStyle w:val="1_867"/>
        <w:numPr>
          <w:ilvl w:val="1"/>
          <w:numId w:val="1"/>
        </w:numPr>
        <w:pBdr/>
        <w:spacing w:line="276" w:lineRule="auto"/>
        <w:ind/>
        <w:jc w:val="both"/>
        <w:rPr/>
      </w:pPr>
      <w:r>
        <w:rPr>
          <w:rStyle w:val="1_866"/>
          <w:rFonts w:cs="Tahoma"/>
          <w:b/>
          <w:bCs/>
        </w:rPr>
        <w:t xml:space="preserve">dotacji – </w:t>
      </w:r>
      <w:r>
        <w:rPr>
          <w:rStyle w:val="1_866"/>
          <w:rFonts w:cs="Tahoma"/>
        </w:rPr>
        <w:t xml:space="preserve">rozumie się przez to dotację w rozumieniu art. 2 pkt. 1 ustawy;</w:t>
      </w:r>
      <w:r/>
      <w:r/>
    </w:p>
    <w:p>
      <w:pPr>
        <w:pStyle w:val="1_867"/>
        <w:numPr>
          <w:ilvl w:val="1"/>
          <w:numId w:val="1"/>
        </w:numPr>
        <w:pBdr/>
        <w:spacing w:line="276" w:lineRule="auto"/>
        <w:ind/>
        <w:jc w:val="both"/>
        <w:rPr/>
      </w:pPr>
      <w:r>
        <w:rPr>
          <w:rStyle w:val="1_866"/>
          <w:rFonts w:cs="Tahoma"/>
          <w:b/>
          <w:bCs/>
        </w:rPr>
        <w:t xml:space="preserve">środkach publicznych – </w:t>
      </w:r>
      <w:r>
        <w:rPr>
          <w:rStyle w:val="1_866"/>
          <w:rFonts w:cs="Tahoma"/>
        </w:rPr>
        <w:t xml:space="preserve">rozumie się przez to środki w rozumieniu art. 2 pkt. 2 ustawy;</w:t>
      </w:r>
      <w:r/>
      <w:r/>
    </w:p>
    <w:p>
      <w:pPr>
        <w:pStyle w:val="1_867"/>
        <w:numPr>
          <w:ilvl w:val="1"/>
          <w:numId w:val="1"/>
        </w:numPr>
        <w:pBdr/>
        <w:spacing w:line="276" w:lineRule="auto"/>
        <w:ind/>
        <w:jc w:val="both"/>
        <w:rPr/>
      </w:pPr>
      <w:r>
        <w:rPr>
          <w:rStyle w:val="1_866"/>
          <w:rFonts w:cs="Tahoma"/>
          <w:b/>
          <w:bCs/>
        </w:rPr>
        <w:t xml:space="preserve">organizacji pozarządowej – </w:t>
      </w:r>
      <w:r>
        <w:rPr>
          <w:rStyle w:val="1_866"/>
          <w:rFonts w:cs="Tahoma"/>
        </w:rPr>
        <w:t xml:space="preserve">rozumie się przez to organizacje pozarządowe w myśl art. 3 ust. 2 ustawy z dnia 24 kwietnia 2003 r. o działalności pożytku publicznego                                 i o wolontariacie (</w:t>
      </w:r>
      <w:r>
        <w:t xml:space="preserve">Dz. U. z 2023 r. poz. 571</w:t>
      </w:r>
      <w:r>
        <w:rPr>
          <w:rStyle w:val="1_866"/>
          <w:rFonts w:cs="Tahoma"/>
        </w:rPr>
        <w:t xml:space="preserve">);</w:t>
      </w:r>
      <w:r/>
      <w:r/>
    </w:p>
    <w:p>
      <w:pPr>
        <w:pStyle w:val="1_867"/>
        <w:numPr>
          <w:ilvl w:val="1"/>
          <w:numId w:val="1"/>
        </w:numPr>
        <w:pBdr/>
        <w:spacing w:line="276" w:lineRule="auto"/>
        <w:ind/>
        <w:jc w:val="both"/>
        <w:rPr/>
      </w:pPr>
      <w:r>
        <w:rPr>
          <w:rStyle w:val="1_866"/>
          <w:rFonts w:cs="Tahoma"/>
          <w:b/>
          <w:bCs/>
        </w:rPr>
        <w:t xml:space="preserve">innym podmiocie – </w:t>
      </w:r>
      <w:r>
        <w:rPr>
          <w:rStyle w:val="1_866"/>
          <w:rFonts w:cs="Tahoma"/>
        </w:rPr>
        <w:t xml:space="preserve">rozumie się przez to podmiot w myśl art. 3 ust. 3 ustawy z dnia            24 kwietnia 2003 r. o działalności pożytku publicznego i o wolontariacie</w:t>
      </w:r>
      <w:r>
        <w:rPr>
          <w:rStyle w:val="1_866"/>
          <w:rFonts w:cs="Tahoma"/>
        </w:rPr>
        <w:br/>
      </w:r>
      <w:r>
        <w:rPr>
          <w:rStyle w:val="1_866"/>
          <w:rFonts w:cs="Tahoma"/>
        </w:rPr>
        <w:t xml:space="preserve">(</w:t>
      </w:r>
      <w:r>
        <w:t xml:space="preserve">Dz. U. z 2023 r. poz. 571</w:t>
      </w:r>
      <w:r>
        <w:rPr>
          <w:rStyle w:val="1_866"/>
          <w:rFonts w:cs="Tahoma"/>
        </w:rPr>
        <w:t xml:space="preserve">);</w:t>
      </w:r>
      <w:r/>
      <w:r/>
    </w:p>
    <w:p>
      <w:pPr>
        <w:pStyle w:val="1_867"/>
        <w:numPr>
          <w:ilvl w:val="1"/>
          <w:numId w:val="1"/>
        </w:numPr>
        <w:pBdr/>
        <w:spacing w:line="276" w:lineRule="auto"/>
        <w:ind/>
        <w:jc w:val="both"/>
        <w:rPr/>
      </w:pPr>
      <w:r>
        <w:rPr>
          <w:rStyle w:val="1_866"/>
          <w:rFonts w:cs="Tahoma"/>
          <w:b/>
          <w:bCs/>
        </w:rPr>
        <w:t xml:space="preserve">gminie – </w:t>
      </w:r>
      <w:r>
        <w:rPr>
          <w:rStyle w:val="1_866"/>
          <w:rFonts w:cs="Tahoma"/>
        </w:rPr>
        <w:t xml:space="preserve">rozumie się przez to Gminę Miasta Pionki;</w:t>
      </w:r>
      <w:r/>
      <w:r/>
    </w:p>
    <w:p>
      <w:pPr>
        <w:pStyle w:val="1_867"/>
        <w:numPr>
          <w:ilvl w:val="1"/>
          <w:numId w:val="1"/>
        </w:numPr>
        <w:pBdr/>
        <w:spacing w:line="276" w:lineRule="auto"/>
        <w:ind/>
        <w:jc w:val="both"/>
        <w:rPr/>
      </w:pPr>
      <w:r>
        <w:rPr>
          <w:rStyle w:val="1_866"/>
          <w:rFonts w:cs="Tahoma"/>
          <w:b/>
          <w:bCs/>
        </w:rPr>
        <w:t xml:space="preserve">urzędzie – </w:t>
      </w:r>
      <w:r>
        <w:rPr>
          <w:rStyle w:val="1_866"/>
          <w:rFonts w:cs="Tahoma"/>
        </w:rPr>
        <w:t xml:space="preserve">rozumie się przez to Urząd Miasta w Pionkach;</w:t>
      </w:r>
      <w:r/>
      <w:r/>
    </w:p>
    <w:p>
      <w:pPr>
        <w:pStyle w:val="1_867"/>
        <w:numPr>
          <w:ilvl w:val="1"/>
          <w:numId w:val="1"/>
        </w:numPr>
        <w:pBdr/>
        <w:spacing w:line="276" w:lineRule="auto"/>
        <w:ind/>
        <w:jc w:val="both"/>
        <w:rPr/>
      </w:pPr>
      <w:r>
        <w:rPr>
          <w:rStyle w:val="1_866"/>
          <w:rFonts w:cs="Tahoma"/>
          <w:b/>
          <w:bCs/>
        </w:rPr>
        <w:t xml:space="preserve">komórce merytorycznej – </w:t>
      </w:r>
      <w:r>
        <w:rPr>
          <w:rStyle w:val="1_866"/>
          <w:rFonts w:cs="Tahoma"/>
        </w:rPr>
        <w:t xml:space="preserve">rozumie się przez to wydział lub jednostkę organizacyjną,         z którego środków określonych uchwałą budżetową, udzielona będzie dotacja;</w:t>
      </w:r>
      <w:r/>
      <w:r/>
    </w:p>
    <w:p>
      <w:pPr>
        <w:pStyle w:val="1_867"/>
        <w:numPr>
          <w:ilvl w:val="1"/>
          <w:numId w:val="1"/>
        </w:numPr>
        <w:pBdr/>
        <w:spacing w:line="276" w:lineRule="auto"/>
        <w:ind/>
        <w:jc w:val="both"/>
        <w:rPr/>
      </w:pPr>
      <w:r>
        <w:rPr>
          <w:rStyle w:val="1_866"/>
          <w:rFonts w:cs="Tahoma"/>
          <w:b/>
          <w:bCs/>
        </w:rPr>
        <w:t xml:space="preserve">otwartym konkursie ofert – </w:t>
      </w:r>
      <w:r>
        <w:rPr>
          <w:rStyle w:val="1_866"/>
          <w:rFonts w:cs="Tahoma"/>
        </w:rPr>
        <w:t xml:space="preserve">rozumie się przez to konkurs, o którym jest mowa                    w art. 11 ust. 2 oraz w art. 13 ustawy;</w:t>
      </w:r>
      <w:r/>
      <w:r/>
    </w:p>
    <w:p>
      <w:pPr>
        <w:pStyle w:val="1_867"/>
        <w:numPr>
          <w:ilvl w:val="1"/>
          <w:numId w:val="1"/>
        </w:numPr>
        <w:pBdr/>
        <w:spacing w:line="276" w:lineRule="auto"/>
        <w:ind/>
        <w:jc w:val="both"/>
        <w:rPr/>
      </w:pPr>
      <w:r>
        <w:rPr>
          <w:rStyle w:val="1_866"/>
          <w:rFonts w:cs="Tahoma"/>
          <w:b/>
          <w:bCs/>
        </w:rPr>
        <w:t xml:space="preserve">małych dotacjach – </w:t>
      </w:r>
      <w:r>
        <w:rPr>
          <w:rStyle w:val="1_866"/>
          <w:rFonts w:cs="Tahoma"/>
        </w:rPr>
        <w:t xml:space="preserve">rozumie się zlecanie zadań publicznych organizacjom pozarządowym i innym podmiotom w trybie określonym w art. 19a ustawy z dnia               24 kwietnia 2003 r. o działalności pożytku publicznego i o wolontariacie</w:t>
      </w:r>
      <w:r>
        <w:rPr>
          <w:rStyle w:val="1_866"/>
          <w:rFonts w:cs="Tahoma"/>
        </w:rPr>
        <w:br/>
      </w:r>
      <w:r>
        <w:rPr>
          <w:rStyle w:val="1_866"/>
          <w:rFonts w:cs="Tahoma"/>
        </w:rPr>
        <w:t xml:space="preserve">(</w:t>
      </w:r>
      <w:r>
        <w:t xml:space="preserve">Dz. U. z 2023 r. poz. 571</w:t>
      </w:r>
      <w:r>
        <w:rPr>
          <w:rStyle w:val="1_866"/>
          <w:rFonts w:cs="Tahoma"/>
        </w:rPr>
        <w:t xml:space="preserve">).</w:t>
      </w:r>
      <w:r/>
      <w:r/>
    </w:p>
    <w:p>
      <w:pPr>
        <w:pStyle w:val="1_867"/>
        <w:pBdr/>
        <w:spacing w:line="276" w:lineRule="auto"/>
        <w:ind w:right="0" w:firstLine="0" w:left="1080"/>
        <w:jc w:val="both"/>
        <w:rPr/>
      </w:pPr>
      <w:r/>
      <w:r/>
      <w:r/>
    </w:p>
    <w:p>
      <w:pPr>
        <w:pStyle w:val="1_867"/>
        <w:pBdr/>
        <w:spacing w:line="276" w:lineRule="auto"/>
        <w:ind/>
        <w:jc w:val="both"/>
        <w:rPr/>
      </w:pPr>
      <w:r>
        <w:rPr>
          <w:rStyle w:val="1_866"/>
          <w:rFonts w:cs="Times New Roman"/>
          <w:b/>
          <w:bCs/>
        </w:rPr>
        <w:t xml:space="preserve">§ </w:t>
      </w:r>
      <w:r>
        <w:rPr>
          <w:rStyle w:val="1_866"/>
          <w:rFonts w:cs="Tahoma"/>
          <w:b/>
          <w:bCs/>
        </w:rPr>
        <w:t xml:space="preserve">2. </w:t>
      </w:r>
      <w:r>
        <w:rPr>
          <w:rStyle w:val="1_866"/>
          <w:rFonts w:cs="Tahoma"/>
        </w:rPr>
        <w:t xml:space="preserve">1. Program obejmuje współpracę gminy z organizacjami pozarządowymi i innymi podmiotami działającymi na rzecz gminy w zakresie zadań publicznych realizowanych </w:t>
      </w:r>
      <w:r>
        <w:rPr>
          <w:rStyle w:val="1_866"/>
          <w:rFonts w:cs="Tahoma"/>
          <w:b/>
          <w:bCs/>
        </w:rPr>
        <w:t xml:space="preserve">w 2025 roku.</w:t>
      </w:r>
      <w:r/>
      <w:r/>
    </w:p>
    <w:p>
      <w:pPr>
        <w:pStyle w:val="1_867"/>
        <w:pBdr/>
        <w:spacing w:line="276" w:lineRule="auto"/>
        <w:ind/>
        <w:jc w:val="both"/>
        <w:rPr>
          <w:rFonts w:cs="Tahoma"/>
        </w:rPr>
      </w:pPr>
      <w:r>
        <w:rPr>
          <w:rFonts w:cs="Tahoma"/>
        </w:rPr>
        <w:tab/>
        <w:t xml:space="preserve">2. Program określa cele, formy, zasady</w:t>
      </w:r>
      <w:r>
        <w:rPr>
          <w:rFonts w:cs="Tahoma"/>
        </w:rPr>
        <w:t xml:space="preserve"> i priorytetowe obszary współpracy gminy</w:t>
        <w:br/>
        <w:t xml:space="preserve">z organizacjami pozarządowymi i innymi podmiotami, szacunkową wysokość środków finansowych przeznaczonych na jego realizację, a także podmioty odpowiedzialne za realizację programu</w:t>
        <w:br/>
        <w:t xml:space="preserve">oraz sposoby oceny jego wykonania.</w:t>
      </w:r>
      <w:r>
        <w:rPr>
          <w:rFonts w:cs="Tahoma"/>
        </w:rPr>
      </w:r>
      <w:r>
        <w:rPr>
          <w:rFonts w:cs="Tahoma"/>
        </w:rPr>
      </w:r>
    </w:p>
    <w:p>
      <w:pPr>
        <w:pStyle w:val="1_867"/>
        <w:pBdr/>
        <w:spacing w:line="276" w:lineRule="auto"/>
        <w:ind/>
        <w:jc w:val="both"/>
        <w:rPr/>
      </w:pPr>
      <w:r>
        <w:rPr>
          <w:rStyle w:val="1_866"/>
          <w:rFonts w:cs="Tahoma"/>
        </w:rPr>
        <w:tab/>
        <w:t xml:space="preserve">3. Program powstał przy udziale organizacji pozarządowych i innych podmiotów, w sposób zgodny z uchwałą </w:t>
      </w:r>
      <w:r>
        <w:rPr>
          <w:rStyle w:val="1_866"/>
          <w:rFonts w:cs="Tahoma"/>
          <w:b/>
          <w:bCs/>
        </w:rPr>
        <w:t xml:space="preserve">Nr XV/148/2011 Rady Miasta Pionki z dnia 31 sierpnia 2011 r. </w:t>
      </w:r>
      <w:r>
        <w:t xml:space="preserve">w sprawie określenia szczegółowego sposobu konsultowania z organiza</w:t>
      </w:r>
      <w:r>
        <w:t xml:space="preserve">cjami pozarządowymi i podmiotami,</w:t>
        <w:br/>
        <w:t xml:space="preserve">o których mowa w art. 3 ust. 3 ustawy o działalności pożytku publicznego i o wolontariacie lub radą działalności pożytku publicznego, projektów aktów prawa miejscowego w dziedzinach dotyczących ich działalności statutowej.</w:t>
      </w:r>
      <w:r/>
      <w:r/>
    </w:p>
    <w:p>
      <w:pPr>
        <w:pStyle w:val="1_867"/>
        <w:pBdr/>
        <w:spacing w:line="276" w:lineRule="auto"/>
        <w:ind/>
        <w:jc w:val="both"/>
        <w:rPr>
          <w:b/>
          <w:bCs/>
          <w:i/>
          <w:iCs/>
        </w:rPr>
      </w:pPr>
      <w:r>
        <w:rPr>
          <w:b/>
          <w:bCs/>
          <w:i/>
          <w:iCs/>
        </w:rPr>
      </w:r>
      <w:r>
        <w:rPr>
          <w:b/>
          <w:bCs/>
          <w:i/>
          <w:iCs/>
        </w:rPr>
      </w:r>
      <w:r>
        <w:rPr>
          <w:b/>
          <w:bCs/>
          <w:i/>
          <w:iCs/>
        </w:rPr>
      </w:r>
    </w:p>
    <w:p>
      <w:pPr>
        <w:pStyle w:val="1_867"/>
        <w:pBdr/>
        <w:spacing w:line="276" w:lineRule="auto"/>
        <w:ind/>
        <w:jc w:val="both"/>
        <w:rPr>
          <w:rFonts w:cs="Tahoma"/>
          <w:b/>
          <w:bCs/>
          <w:sz w:val="26"/>
          <w:szCs w:val="26"/>
        </w:rPr>
      </w:pPr>
      <w:r>
        <w:rPr>
          <w:rFonts w:cs="Tahoma"/>
          <w:b/>
          <w:bCs/>
          <w:sz w:val="26"/>
          <w:szCs w:val="26"/>
        </w:rPr>
        <w:t xml:space="preserve">Rozdział II.  Cele Programu</w:t>
      </w:r>
      <w:r>
        <w:rPr>
          <w:rFonts w:cs="Tahoma"/>
          <w:b/>
          <w:bCs/>
          <w:sz w:val="26"/>
          <w:szCs w:val="26"/>
        </w:rPr>
      </w:r>
      <w:r>
        <w:rPr>
          <w:rFonts w:cs="Tahoma"/>
          <w:b/>
          <w:bCs/>
          <w:sz w:val="26"/>
          <w:szCs w:val="26"/>
        </w:rPr>
      </w:r>
    </w:p>
    <w:p>
      <w:pPr>
        <w:pStyle w:val="1_867"/>
        <w:pBdr/>
        <w:spacing w:line="276" w:lineRule="auto"/>
        <w:ind/>
        <w:jc w:val="both"/>
        <w:rPr>
          <w:rFonts w:cs="Tahoma"/>
          <w:b/>
          <w:bCs/>
        </w:rPr>
      </w:pPr>
      <w:r>
        <w:rPr>
          <w:rFonts w:cs="Tahoma"/>
          <w:b/>
          <w:bCs/>
        </w:rPr>
      </w:r>
      <w:r>
        <w:rPr>
          <w:rFonts w:cs="Tahoma"/>
          <w:b/>
          <w:bCs/>
        </w:rPr>
      </w:r>
      <w:r>
        <w:rPr>
          <w:rFonts w:cs="Tahoma"/>
          <w:b/>
          <w:bCs/>
        </w:rPr>
      </w:r>
    </w:p>
    <w:p>
      <w:pPr>
        <w:pStyle w:val="1_867"/>
        <w:pBdr/>
        <w:spacing w:line="276" w:lineRule="auto"/>
        <w:ind/>
        <w:jc w:val="both"/>
        <w:rPr/>
      </w:pPr>
      <w:r>
        <w:rPr>
          <w:rStyle w:val="1_866"/>
          <w:rFonts w:cs="Times New Roman"/>
          <w:b/>
          <w:bCs/>
        </w:rPr>
        <w:t xml:space="preserve">§ </w:t>
      </w:r>
      <w:r>
        <w:rPr>
          <w:rStyle w:val="1_866"/>
          <w:rFonts w:cs="Tahoma"/>
          <w:b/>
          <w:bCs/>
        </w:rPr>
        <w:t xml:space="preserve">3. 1. </w:t>
      </w:r>
      <w:r>
        <w:rPr>
          <w:rStyle w:val="1_866"/>
          <w:rFonts w:cs="Times New Roman"/>
        </w:rPr>
        <w:t xml:space="preserve">Za cel główny programu współpracy gminy z organizacjami pozarządowymi przyjmuje się poprawę jakości życia oraz pełniejsze zaspokajanie potrzeb społecznych mieszkańców gminy poprzez stwarzanie możliwości i warunków uczestniczenia w życiu publicznym.</w:t>
      </w:r>
      <w:r/>
      <w:r/>
    </w:p>
    <w:p>
      <w:pPr>
        <w:pStyle w:val="1_868"/>
        <w:pBdr/>
        <w:spacing w:line="276" w:lineRule="auto"/>
        <w:ind w:right="0" w:firstLine="0" w:left="0"/>
        <w:jc w:val="both"/>
        <w:rPr/>
      </w:pPr>
      <w:r>
        <w:rPr>
          <w:rStyle w:val="1_866"/>
          <w:rFonts w:cs="Times New Roman"/>
        </w:rPr>
        <w:t xml:space="preserve">2. Cel główny realizuje się poprzez następujące cele szczegółowe:</w:t>
      </w:r>
      <w:r/>
      <w:r/>
    </w:p>
    <w:p>
      <w:pPr>
        <w:pStyle w:val="1_868"/>
        <w:pBdr/>
        <w:spacing w:line="276" w:lineRule="auto"/>
        <w:ind w:right="0" w:firstLine="0" w:left="0"/>
        <w:jc w:val="both"/>
        <w:rPr/>
      </w:pPr>
      <w:r>
        <w:rPr>
          <w:rStyle w:val="1_866"/>
          <w:rFonts w:cs="Times New Roman"/>
        </w:rPr>
        <w:t xml:space="preserve"> </w:t>
      </w:r>
      <w:r>
        <w:rPr>
          <w:rStyle w:val="1_866"/>
          <w:rFonts w:cs="Times New Roman"/>
        </w:rPr>
        <w:tab/>
        <w:t xml:space="preserve">1) pobudzenie aktywności organizacji pozarządowych działających na terenie gminy;</w:t>
      </w:r>
      <w:r/>
      <w:r/>
    </w:p>
    <w:p>
      <w:pPr>
        <w:pStyle w:val="1_868"/>
        <w:pBdr/>
        <w:spacing w:line="276" w:lineRule="auto"/>
        <w:ind w:right="0" w:firstLine="0" w:left="0"/>
        <w:jc w:val="both"/>
        <w:rPr/>
      </w:pPr>
      <w:r>
        <w:rPr>
          <w:rStyle w:val="1_866"/>
          <w:rFonts w:cs="Times New Roman"/>
        </w:rPr>
        <w:tab/>
        <w:t xml:space="preserve">2) promowanie społeczeństwa obywatelskiego poprzez wspieranie aktywności mieszkańców gminy, coraz lepsze poznawanie i diagnozowanie środowisk organizacji pozarządowych działających na terenie gminy;</w:t>
      </w:r>
      <w:r/>
      <w:r/>
    </w:p>
    <w:p>
      <w:pPr>
        <w:pStyle w:val="1_868"/>
        <w:pBdr/>
        <w:spacing w:line="276" w:lineRule="auto"/>
        <w:ind w:right="0" w:firstLine="0" w:left="0"/>
        <w:jc w:val="both"/>
        <w:rPr/>
      </w:pPr>
      <w:r>
        <w:rPr>
          <w:rStyle w:val="1_866"/>
          <w:rFonts w:cs="Times New Roman"/>
        </w:rPr>
        <w:t xml:space="preserve"> </w:t>
      </w:r>
      <w:r>
        <w:rPr>
          <w:rStyle w:val="1_866"/>
          <w:rFonts w:cs="Times New Roman"/>
        </w:rPr>
        <w:tab/>
        <w:t xml:space="preserve">3) integrację podmiotów prowadzących działalność obejmującą swym zakresem sferę zdań publicznych wymienionych w art. 4 ustawy;</w:t>
      </w:r>
      <w:r/>
      <w:r/>
    </w:p>
    <w:p>
      <w:pPr>
        <w:pStyle w:val="1_868"/>
        <w:pBdr/>
        <w:spacing w:line="276" w:lineRule="auto"/>
        <w:ind w:right="0" w:firstLine="0" w:left="0"/>
        <w:jc w:val="both"/>
        <w:rPr/>
      </w:pPr>
      <w:r>
        <w:rPr>
          <w:rStyle w:val="1_866"/>
          <w:rFonts w:cs="Times New Roman"/>
        </w:rPr>
        <w:t xml:space="preserve"> </w:t>
      </w:r>
      <w:r>
        <w:rPr>
          <w:rStyle w:val="1_866"/>
          <w:rFonts w:cs="Times New Roman"/>
        </w:rPr>
        <w:tab/>
        <w:t xml:space="preserve">4) </w:t>
      </w:r>
      <w:r>
        <w:rPr>
          <w:rStyle w:val="1_866"/>
          <w:rFonts w:cs="Times New Roman"/>
        </w:rPr>
        <w:t xml:space="preserve">otwarcie na innowacyjność oraz konkurencyjność poprzez umożliwienie organizacjom wystąpienia z ofertą realizacji konkretnych zadań publicznych;</w:t>
      </w:r>
      <w:r/>
      <w:r/>
    </w:p>
    <w:p>
      <w:pPr>
        <w:pStyle w:val="1_868"/>
        <w:pBdr/>
        <w:spacing w:line="276" w:lineRule="auto"/>
        <w:ind w:right="0" w:firstLine="0" w:left="0"/>
        <w:jc w:val="both"/>
        <w:rPr/>
      </w:pPr>
      <w:r>
        <w:rPr>
          <w:rStyle w:val="1_866"/>
          <w:rFonts w:cs="Times New Roman"/>
        </w:rPr>
        <w:t xml:space="preserve"> </w:t>
      </w:r>
      <w:r>
        <w:rPr>
          <w:rStyle w:val="1_866"/>
          <w:rFonts w:cs="Times New Roman"/>
        </w:rPr>
        <w:tab/>
        <w:t xml:space="preserve">5) tworzenie warunków do wzmacniania istniejących organizacji, powstawania nowych organizacji i inicjatyw obywatelskich;</w:t>
      </w:r>
      <w:r/>
      <w:r/>
    </w:p>
    <w:p>
      <w:pPr>
        <w:pStyle w:val="1_868"/>
        <w:pBdr/>
        <w:spacing w:line="276" w:lineRule="auto"/>
        <w:ind w:right="0" w:firstLine="0" w:left="0"/>
        <w:jc w:val="both"/>
        <w:rPr/>
      </w:pPr>
      <w:r>
        <w:rPr>
          <w:rStyle w:val="1_866"/>
          <w:rFonts w:cs="Times New Roman"/>
        </w:rPr>
        <w:t xml:space="preserve"> </w:t>
      </w:r>
      <w:r>
        <w:rPr>
          <w:rStyle w:val="1_866"/>
          <w:rFonts w:cs="Times New Roman"/>
        </w:rPr>
        <w:tab/>
        <w:t xml:space="preserve">6) zapewnienie jeszcze efektywniejszego wykonywania zadań publicznych gminy</w:t>
      </w:r>
      <w:r>
        <w:rPr>
          <w:rStyle w:val="1_866"/>
          <w:rFonts w:cs="Times New Roman"/>
        </w:rPr>
        <w:br/>
      </w:r>
      <w:r>
        <w:rPr>
          <w:rStyle w:val="1_866"/>
          <w:rFonts w:cs="Times New Roman"/>
        </w:rPr>
        <w:t xml:space="preserve">przez włączenie do ich realizacji organizacji pozarządowych;</w:t>
      </w:r>
      <w:r/>
      <w:r/>
    </w:p>
    <w:p>
      <w:pPr>
        <w:pStyle w:val="1_868"/>
        <w:pBdr/>
        <w:spacing w:line="276" w:lineRule="auto"/>
        <w:ind w:right="0" w:firstLine="0" w:left="0"/>
        <w:jc w:val="both"/>
        <w:rPr/>
      </w:pPr>
      <w:r>
        <w:rPr>
          <w:rStyle w:val="1_866"/>
          <w:rFonts w:cs="Times New Roman"/>
        </w:rPr>
        <w:t xml:space="preserve"> </w:t>
      </w:r>
      <w:r>
        <w:rPr>
          <w:rStyle w:val="1_866"/>
          <w:rFonts w:cs="Times New Roman"/>
        </w:rPr>
        <w:tab/>
        <w:t xml:space="preserve">7) współpracę sektora pozarządowego i społeczności lokalnych w kreowaniu polityki społecznej w gminie;</w:t>
      </w:r>
      <w:r/>
      <w:r/>
    </w:p>
    <w:p>
      <w:pPr>
        <w:pStyle w:val="1_867"/>
        <w:pBdr/>
        <w:spacing w:line="276" w:lineRule="auto"/>
        <w:ind/>
        <w:jc w:val="both"/>
        <w:rPr>
          <w:rFonts w:cs="Tahoma"/>
        </w:rPr>
      </w:pPr>
      <w:r>
        <w:rPr>
          <w:rFonts w:cs="Tahoma"/>
        </w:rPr>
        <w:t xml:space="preserve">3.Wzmocnienie pozycj</w:t>
      </w:r>
      <w:r>
        <w:rPr>
          <w:rFonts w:cs="Tahoma"/>
        </w:rPr>
        <w:t xml:space="preserve">i organizacji pozarządowych i zapewnienie im równych z innymi podmiotami szans w realizacji zadań publicznych, poprzez wspieranie oraz powierzanie im zadań,                                 z jednoczesnym zapewnieniem odpowiednich środków na ich realizację;</w:t>
      </w:r>
      <w:r>
        <w:rPr>
          <w:rFonts w:cs="Tahoma"/>
        </w:rPr>
      </w:r>
      <w:r>
        <w:rPr>
          <w:rFonts w:cs="Tahoma"/>
        </w:rPr>
      </w:r>
    </w:p>
    <w:p>
      <w:pPr>
        <w:pStyle w:val="1_867"/>
        <w:pBdr/>
        <w:spacing w:line="276" w:lineRule="auto"/>
        <w:ind/>
        <w:jc w:val="both"/>
        <w:rPr/>
      </w:pPr>
      <w:r>
        <w:rPr>
          <w:rStyle w:val="1_866"/>
          <w:rFonts w:cs="Tahoma"/>
        </w:rPr>
        <w:t xml:space="preserve">4. Realizację zadań publicznych określonych w ustawie, wymienionych w </w:t>
      </w:r>
      <w:r>
        <w:rPr>
          <w:rStyle w:val="1_866"/>
          <w:rFonts w:cs="Times New Roman"/>
        </w:rPr>
        <w:t xml:space="preserve">§ 7.</w:t>
      </w:r>
      <w:r>
        <w:rPr>
          <w:rStyle w:val="1_866"/>
          <w:rFonts w:cs="Tahoma"/>
        </w:rPr>
        <w:t xml:space="preserve">  programu;</w:t>
      </w:r>
      <w:r/>
      <w:r/>
    </w:p>
    <w:p>
      <w:pPr>
        <w:pStyle w:val="1_867"/>
        <w:pBdr/>
        <w:spacing w:line="276" w:lineRule="auto"/>
        <w:ind/>
        <w:jc w:val="both"/>
        <w:rPr>
          <w:rFonts w:cs="Tahoma"/>
        </w:rPr>
      </w:pPr>
      <w:r>
        <w:rPr>
          <w:rFonts w:cs="Tahoma"/>
        </w:rPr>
        <w:t xml:space="preserve">5. Prowadzenie nowatorskich i efektywnych działań na rzecz gminy oraz tworzenie  systemowych rozwiązań dla ważnych problemów społecznych;</w:t>
      </w:r>
      <w:r>
        <w:rPr>
          <w:rFonts w:cs="Tahoma"/>
        </w:rPr>
      </w:r>
      <w:r>
        <w:rPr>
          <w:rFonts w:cs="Tahoma"/>
        </w:rPr>
      </w:r>
    </w:p>
    <w:p>
      <w:pPr>
        <w:pStyle w:val="1_867"/>
        <w:pBdr/>
        <w:spacing w:line="276" w:lineRule="auto"/>
        <w:ind/>
        <w:jc w:val="both"/>
        <w:rPr>
          <w:rFonts w:cs="Tahoma"/>
        </w:rPr>
      </w:pPr>
      <w:r>
        <w:rPr>
          <w:rFonts w:cs="Tahoma"/>
        </w:rPr>
      </w:r>
      <w:r>
        <w:rPr>
          <w:rFonts w:cs="Tahoma"/>
        </w:rPr>
      </w:r>
      <w:r>
        <w:rPr>
          <w:rFonts w:cs="Tahoma"/>
        </w:rPr>
      </w:r>
    </w:p>
    <w:p>
      <w:pPr>
        <w:pStyle w:val="1_867"/>
        <w:pBdr/>
        <w:spacing w:line="276" w:lineRule="auto"/>
        <w:ind/>
        <w:jc w:val="both"/>
        <w:rPr>
          <w:rFonts w:cs="Tahoma"/>
          <w:b/>
          <w:bCs/>
          <w:sz w:val="26"/>
          <w:szCs w:val="26"/>
        </w:rPr>
      </w:pPr>
      <w:r>
        <w:rPr>
          <w:rFonts w:cs="Tahoma"/>
          <w:b/>
          <w:bCs/>
          <w:sz w:val="26"/>
          <w:szCs w:val="26"/>
        </w:rPr>
        <w:t xml:space="preserve">Rozdział III. Zasady, formy i obszary współpracy gminy z organizacjami pozarządowymi  oraz innymi podmiotami</w:t>
      </w:r>
      <w:r>
        <w:rPr>
          <w:rFonts w:cs="Tahoma"/>
          <w:b/>
          <w:bCs/>
          <w:sz w:val="26"/>
          <w:szCs w:val="26"/>
        </w:rPr>
      </w:r>
      <w:r>
        <w:rPr>
          <w:rFonts w:cs="Tahoma"/>
          <w:b/>
          <w:bCs/>
          <w:sz w:val="26"/>
          <w:szCs w:val="26"/>
        </w:rPr>
      </w:r>
    </w:p>
    <w:p>
      <w:pPr>
        <w:pStyle w:val="1_867"/>
        <w:pBdr/>
        <w:spacing w:line="276" w:lineRule="auto"/>
        <w:ind/>
        <w:jc w:val="both"/>
        <w:rPr>
          <w:rFonts w:cs="Tahoma"/>
          <w:b/>
          <w:bCs/>
        </w:rPr>
      </w:pPr>
      <w:r>
        <w:rPr>
          <w:rFonts w:cs="Tahoma"/>
          <w:b/>
          <w:bCs/>
        </w:rPr>
      </w:r>
      <w:r>
        <w:rPr>
          <w:rFonts w:cs="Tahoma"/>
          <w:b/>
          <w:bCs/>
        </w:rPr>
      </w:r>
      <w:r>
        <w:rPr>
          <w:rFonts w:cs="Tahoma"/>
          <w:b/>
          <w:bCs/>
        </w:rPr>
      </w:r>
    </w:p>
    <w:p>
      <w:pPr>
        <w:pStyle w:val="1_867"/>
        <w:pBdr/>
        <w:spacing w:line="276" w:lineRule="auto"/>
        <w:ind/>
        <w:jc w:val="both"/>
        <w:rPr/>
      </w:pPr>
      <w:r>
        <w:rPr>
          <w:rStyle w:val="1_866"/>
          <w:rFonts w:cs="Times New Roman"/>
          <w:b/>
          <w:bCs/>
        </w:rPr>
        <w:t xml:space="preserve">§</w:t>
      </w:r>
      <w:r>
        <w:rPr>
          <w:rStyle w:val="1_866"/>
          <w:rFonts w:cs="Tahoma"/>
          <w:b/>
          <w:bCs/>
        </w:rPr>
        <w:t xml:space="preserve"> 4. </w:t>
      </w:r>
      <w:r>
        <w:rPr>
          <w:rStyle w:val="1_866"/>
          <w:rFonts w:cs="Tahoma"/>
        </w:rPr>
        <w:t xml:space="preserve">Współpraca gminy z organizacjami pozarządowymi oraz innymi podmiotami odbywa się</w:t>
      </w:r>
      <w:r>
        <w:rPr>
          <w:rStyle w:val="1_866"/>
          <w:rFonts w:cs="Tahoma"/>
        </w:rPr>
        <w:br/>
      </w:r>
      <w:r>
        <w:rPr>
          <w:rStyle w:val="1_866"/>
          <w:rFonts w:cs="Tahoma"/>
        </w:rPr>
        <w:t xml:space="preserve">w oparciu o zasady: pomocniczości, suwerenności stron, partnerstwa, efektywności, uczciwej konkurencji, jawności i wzajemnego poszanowania interesów partnerów współpracy.</w:t>
      </w:r>
      <w:r/>
      <w:r/>
    </w:p>
    <w:p>
      <w:pPr>
        <w:pStyle w:val="1_867"/>
        <w:numPr>
          <w:ilvl w:val="0"/>
          <w:numId w:val="11"/>
        </w:numPr>
        <w:pBdr/>
        <w:spacing w:line="276" w:lineRule="auto"/>
        <w:ind/>
        <w:jc w:val="both"/>
        <w:rPr/>
      </w:pPr>
      <w:r>
        <w:rPr>
          <w:rStyle w:val="1_866"/>
          <w:rFonts w:cs="Tahoma"/>
        </w:rPr>
        <w:t xml:space="preserve">Zasada </w:t>
      </w:r>
      <w:r>
        <w:rPr>
          <w:rStyle w:val="1_866"/>
          <w:rFonts w:cs="Tahoma"/>
          <w:b/>
          <w:bCs/>
        </w:rPr>
        <w:t xml:space="preserve">pomocniczości </w:t>
      </w:r>
      <w:r>
        <w:rPr>
          <w:rStyle w:val="1_866"/>
          <w:rFonts w:cs="Tahoma"/>
        </w:rPr>
        <w:t xml:space="preserve">oznacza, że gmina powierza lub wspiera realizację zadań własnych powierzonych organizacjom pozarządowym oraz innym podmiotom, które zapewniają ich wykonanie w sposób ekonomiczny, profesjonalny i terminowy;</w:t>
      </w:r>
      <w:r/>
      <w:r/>
    </w:p>
    <w:p>
      <w:pPr>
        <w:pStyle w:val="1_867"/>
        <w:numPr>
          <w:ilvl w:val="0"/>
          <w:numId w:val="11"/>
        </w:numPr>
        <w:pBdr/>
        <w:spacing w:line="276" w:lineRule="auto"/>
        <w:ind/>
        <w:jc w:val="both"/>
        <w:rPr/>
      </w:pPr>
      <w:r>
        <w:rPr>
          <w:rStyle w:val="1_866"/>
          <w:rFonts w:cs="Tahoma"/>
        </w:rPr>
        <w:t xml:space="preserve">Zasada </w:t>
      </w:r>
      <w:r>
        <w:rPr>
          <w:rStyle w:val="1_866"/>
          <w:rFonts w:cs="Tahoma"/>
          <w:b/>
          <w:bCs/>
        </w:rPr>
        <w:t xml:space="preserve">suwerenności stron </w:t>
      </w:r>
      <w:r>
        <w:rPr>
          <w:rStyle w:val="1_866"/>
          <w:rFonts w:cs="Tahoma"/>
        </w:rPr>
        <w:t xml:space="preserve">polega na tym, że strony mają prawo do niezależności                         i odrębności w samodzielnym definiowaniu i poszukiwaniu sposobów rozwiązywania problemów i zadań;</w:t>
      </w:r>
      <w:r/>
      <w:r/>
    </w:p>
    <w:p>
      <w:pPr>
        <w:pStyle w:val="1_867"/>
        <w:numPr>
          <w:ilvl w:val="0"/>
          <w:numId w:val="11"/>
        </w:numPr>
        <w:pBdr/>
        <w:spacing w:line="276" w:lineRule="auto"/>
        <w:ind/>
        <w:jc w:val="both"/>
        <w:rPr/>
      </w:pPr>
      <w:r>
        <w:rPr>
          <w:rStyle w:val="1_866"/>
          <w:rFonts w:cs="Tahoma"/>
        </w:rPr>
        <w:t xml:space="preserve">Zasada </w:t>
      </w:r>
      <w:r>
        <w:rPr>
          <w:rStyle w:val="1_866"/>
          <w:rFonts w:cs="Tahoma"/>
          <w:b/>
          <w:bCs/>
        </w:rPr>
        <w:t xml:space="preserve">partnerstwa </w:t>
      </w:r>
      <w:r>
        <w:rPr>
          <w:rStyle w:val="1_866"/>
          <w:rFonts w:cs="Tahoma"/>
        </w:rPr>
        <w:t xml:space="preserve">realizowana jest w zakresie uczestnictwa organizacji pozarządowych oraz innych podmiotów w określaniu potrzeb i problemów mieszkańców gminy, wypracowywaniu sposobów ich rozwiązywania, definiowaniu zadań przeznaczonych</w:t>
      </w:r>
      <w:r>
        <w:rPr>
          <w:rStyle w:val="1_866"/>
          <w:rFonts w:cs="Tahoma"/>
        </w:rPr>
        <w:br/>
      </w:r>
      <w:r>
        <w:rPr>
          <w:rStyle w:val="1_866"/>
          <w:rFonts w:cs="Tahoma"/>
        </w:rPr>
        <w:t xml:space="preserve">do realizacji oraz ocenie ich wykonania;</w:t>
      </w:r>
      <w:r/>
      <w:r/>
    </w:p>
    <w:p>
      <w:pPr>
        <w:pStyle w:val="1_867"/>
        <w:numPr>
          <w:ilvl w:val="0"/>
          <w:numId w:val="11"/>
        </w:numPr>
        <w:pBdr/>
        <w:spacing w:line="276" w:lineRule="auto"/>
        <w:ind/>
        <w:jc w:val="both"/>
        <w:rPr/>
      </w:pPr>
      <w:r>
        <w:rPr>
          <w:rStyle w:val="1_866"/>
          <w:rFonts w:cs="Tahoma"/>
        </w:rPr>
        <w:t xml:space="preserve">Zasada </w:t>
      </w:r>
      <w:r>
        <w:rPr>
          <w:rStyle w:val="1_866"/>
          <w:rFonts w:cs="Tahoma"/>
          <w:b/>
          <w:bCs/>
        </w:rPr>
        <w:t xml:space="preserve">efektywności </w:t>
      </w:r>
      <w:r>
        <w:rPr>
          <w:rStyle w:val="1_866"/>
          <w:rFonts w:cs="Tahoma"/>
        </w:rPr>
        <w:t xml:space="preserve">polega na wspólnym dążeniu gminy i organizacji pozarządowych</w:t>
      </w:r>
      <w:r>
        <w:rPr>
          <w:rStyle w:val="1_866"/>
          <w:rFonts w:cs="Tahoma"/>
        </w:rPr>
        <w:br/>
      </w:r>
      <w:r>
        <w:rPr>
          <w:rStyle w:val="1_866"/>
          <w:rFonts w:cs="Tahoma"/>
        </w:rPr>
        <w:t xml:space="preserve">oraz innych podmiotów do osiągnięcia możliwie najlepszych efektów w realizacji zadań publicznych;</w:t>
      </w:r>
      <w:r/>
      <w:r/>
    </w:p>
    <w:p>
      <w:pPr>
        <w:pStyle w:val="1_867"/>
        <w:numPr>
          <w:ilvl w:val="0"/>
          <w:numId w:val="11"/>
        </w:numPr>
        <w:pBdr/>
        <w:spacing w:line="276" w:lineRule="auto"/>
        <w:ind/>
        <w:jc w:val="both"/>
        <w:rPr/>
      </w:pPr>
      <w:r>
        <w:rPr>
          <w:rStyle w:val="1_866"/>
          <w:rFonts w:cs="Tahoma"/>
        </w:rPr>
        <w:t xml:space="preserve">Zasada </w:t>
      </w:r>
      <w:r>
        <w:rPr>
          <w:rStyle w:val="1_866"/>
          <w:rFonts w:cs="Tahoma"/>
          <w:b/>
          <w:bCs/>
        </w:rPr>
        <w:t xml:space="preserve">jawności, uczciwej konkurencji i wzajemnego poszanowania</w:t>
      </w:r>
      <w:r>
        <w:rPr>
          <w:rStyle w:val="1_866"/>
          <w:rFonts w:cs="Tahoma"/>
        </w:rPr>
        <w:t xml:space="preserve"> rozumiana jest jako udostępnienie przez współpracujące strony, informacji o celach, kosztach i efektach wzajemnej współpracy, poprzez wypracowanie stosownych procedur tej współpracy.</w:t>
      </w:r>
      <w:r/>
      <w:r/>
    </w:p>
    <w:p>
      <w:pPr>
        <w:pStyle w:val="1_867"/>
        <w:pBdr/>
        <w:spacing w:line="276" w:lineRule="auto"/>
        <w:ind/>
        <w:jc w:val="both"/>
        <w:rPr>
          <w:rFonts w:eastAsia="Times New Roman" w:cs="Times New Roman"/>
          <w:b/>
          <w:bCs/>
        </w:rPr>
      </w:pPr>
      <w:r>
        <w:rPr>
          <w:rFonts w:eastAsia="Times New Roman" w:cs="Times New Roman"/>
          <w:b/>
          <w:bCs/>
        </w:rPr>
        <w:t xml:space="preserve">  </w:t>
      </w:r>
      <w:r>
        <w:rPr>
          <w:rFonts w:eastAsia="Times New Roman" w:cs="Times New Roman"/>
          <w:b/>
          <w:bCs/>
        </w:rPr>
      </w:r>
      <w:r>
        <w:rPr>
          <w:rFonts w:eastAsia="Times New Roman" w:cs="Times New Roman"/>
          <w:b/>
          <w:bCs/>
        </w:rPr>
      </w:r>
    </w:p>
    <w:p>
      <w:pPr>
        <w:pStyle w:val="1_867"/>
        <w:pBdr/>
        <w:spacing w:line="276" w:lineRule="auto"/>
        <w:ind/>
        <w:jc w:val="both"/>
        <w:rPr/>
      </w:pPr>
      <w:r>
        <w:rPr>
          <w:rStyle w:val="1_866"/>
          <w:rFonts w:cs="Times New Roman"/>
          <w:b/>
          <w:bCs/>
        </w:rPr>
        <w:t xml:space="preserve">§ </w:t>
      </w:r>
      <w:r>
        <w:rPr>
          <w:rStyle w:val="1_866"/>
          <w:rFonts w:cs="Tahoma"/>
          <w:b/>
          <w:bCs/>
        </w:rPr>
        <w:t xml:space="preserve">5.</w:t>
      </w:r>
      <w:r>
        <w:rPr>
          <w:rStyle w:val="1_866"/>
          <w:rFonts w:cs="Tahoma"/>
        </w:rPr>
        <w:t xml:space="preserve">1.Przedmiotowy zakres współpracy gminy z organizacjami pozarządowymi oraz innymi podmiotami określa art. 7 ust. 1 ustawy z dnia 8 marca 1990 r. o samorządzie gminnym oraz art. 4 </w:t>
      </w:r>
      <w:r>
        <w:rPr>
          <w:rStyle w:val="1_866"/>
          <w:rFonts w:cs="Tahoma"/>
        </w:rPr>
        <w:t xml:space="preserve">ust. 1 ustawy.</w:t>
      </w:r>
      <w:r/>
      <w:r/>
    </w:p>
    <w:p>
      <w:pPr>
        <w:pStyle w:val="1_867"/>
        <w:pBdr/>
        <w:spacing w:line="276" w:lineRule="auto"/>
        <w:ind/>
        <w:jc w:val="both"/>
        <w:rPr>
          <w:rFonts w:cs="Tahoma"/>
        </w:rPr>
      </w:pPr>
      <w:r>
        <w:rPr>
          <w:rFonts w:cs="Tahoma"/>
        </w:rPr>
        <w:t xml:space="preserve">2.Gmina współpracuje z organizacjami pozarządowymi oraz innymi podmiotami prowadzącymi działalność statutową w dziedzinach obejmujących przedmiotowy zakres współpracy.</w:t>
      </w:r>
      <w:r>
        <w:rPr>
          <w:rFonts w:cs="Tahoma"/>
        </w:rPr>
      </w:r>
      <w:r>
        <w:rPr>
          <w:rFonts w:cs="Tahoma"/>
        </w:rPr>
      </w:r>
    </w:p>
    <w:p>
      <w:pPr>
        <w:pStyle w:val="1_867"/>
        <w:pBdr/>
        <w:spacing w:line="276" w:lineRule="auto"/>
        <w:ind/>
        <w:jc w:val="both"/>
        <w:rPr>
          <w:rFonts w:cs="Tahoma"/>
        </w:rPr>
      </w:pPr>
      <w:r>
        <w:rPr>
          <w:rFonts w:cs="Tahoma"/>
        </w:rPr>
      </w:r>
      <w:r>
        <w:rPr>
          <w:rFonts w:cs="Tahoma"/>
        </w:rPr>
      </w:r>
      <w:r>
        <w:rPr>
          <w:rFonts w:cs="Tahoma"/>
        </w:rPr>
      </w:r>
    </w:p>
    <w:p>
      <w:pPr>
        <w:pStyle w:val="1_867"/>
        <w:pBdr/>
        <w:spacing w:line="276" w:lineRule="auto"/>
        <w:ind/>
        <w:jc w:val="both"/>
        <w:rPr/>
      </w:pPr>
      <w:r>
        <w:rPr>
          <w:rStyle w:val="1_866"/>
          <w:rFonts w:cs="Times New Roman"/>
          <w:b/>
          <w:bCs/>
        </w:rPr>
        <w:t xml:space="preserve">§</w:t>
      </w:r>
      <w:r>
        <w:rPr>
          <w:rStyle w:val="1_866"/>
          <w:rFonts w:cs="Tahoma"/>
          <w:b/>
          <w:bCs/>
        </w:rPr>
        <w:t xml:space="preserve"> 6.</w:t>
      </w:r>
      <w:r>
        <w:rPr>
          <w:rStyle w:val="1_866"/>
          <w:rFonts w:cs="Tahoma"/>
        </w:rPr>
        <w:t xml:space="preserve">1.Współpraca z organizacjami pozarządowymi oraz innymi podmiotami ma charakter </w:t>
      </w:r>
      <w:r>
        <w:rPr>
          <w:rStyle w:val="1_866"/>
          <w:rFonts w:cs="Tahoma"/>
          <w:b/>
          <w:bCs/>
        </w:rPr>
        <w:t xml:space="preserve">finansowy </w:t>
      </w:r>
      <w:r>
        <w:rPr>
          <w:rStyle w:val="1_866"/>
          <w:rFonts w:cs="Tahoma"/>
        </w:rPr>
        <w:t xml:space="preserve">i </w:t>
      </w:r>
      <w:r>
        <w:rPr>
          <w:rStyle w:val="1_866"/>
          <w:rFonts w:cs="Tahoma"/>
          <w:b/>
          <w:bCs/>
        </w:rPr>
        <w:t xml:space="preserve">pozafinansowy.</w:t>
      </w:r>
      <w:r/>
      <w:r/>
    </w:p>
    <w:p>
      <w:pPr>
        <w:pStyle w:val="1_867"/>
        <w:pBdr/>
        <w:spacing w:line="276" w:lineRule="auto"/>
        <w:ind/>
        <w:jc w:val="both"/>
        <w:rPr/>
      </w:pPr>
      <w:r>
        <w:rPr>
          <w:rStyle w:val="1_866"/>
          <w:rFonts w:cs="Tahoma"/>
        </w:rPr>
        <w:t xml:space="preserve">2. Do współpracy o charakterze</w:t>
      </w:r>
      <w:r>
        <w:rPr>
          <w:rStyle w:val="1_866"/>
          <w:rFonts w:cs="Tahoma"/>
          <w:b/>
          <w:bCs/>
        </w:rPr>
        <w:t xml:space="preserve"> finansowym</w:t>
      </w:r>
      <w:r>
        <w:rPr>
          <w:rStyle w:val="1_866"/>
          <w:rFonts w:cs="Tahoma"/>
        </w:rPr>
        <w:t xml:space="preserve"> należy:</w:t>
      </w:r>
      <w:r/>
      <w:r/>
    </w:p>
    <w:p>
      <w:pPr>
        <w:pStyle w:val="1_867"/>
        <w:pBdr/>
        <w:spacing w:line="276" w:lineRule="auto"/>
        <w:ind/>
        <w:jc w:val="both"/>
        <w:rPr>
          <w:rFonts w:cs="Tahoma"/>
        </w:rPr>
      </w:pPr>
      <w:r>
        <w:rPr>
          <w:rFonts w:cs="Tahoma"/>
        </w:rPr>
        <w:tab/>
        <w:t xml:space="preserve">a) zlecanie realizacji zadań publicznych, które mogą przybierać jedną z następujących form:</w:t>
      </w:r>
      <w:r>
        <w:rPr>
          <w:rFonts w:cs="Tahoma"/>
        </w:rPr>
      </w:r>
      <w:r>
        <w:rPr>
          <w:rFonts w:cs="Tahoma"/>
        </w:rPr>
      </w:r>
    </w:p>
    <w:p>
      <w:pPr>
        <w:pStyle w:val="1_867"/>
        <w:numPr>
          <w:ilvl w:val="2"/>
          <w:numId w:val="2"/>
        </w:numPr>
        <w:pBdr/>
        <w:spacing w:line="276" w:lineRule="auto"/>
        <w:ind/>
        <w:jc w:val="both"/>
        <w:rPr>
          <w:rFonts w:cs="Tahoma"/>
        </w:rPr>
      </w:pPr>
      <w:r>
        <w:rPr>
          <w:rFonts w:cs="Tahoma"/>
        </w:rPr>
        <w:t xml:space="preserve">powierzenie wykonywania zadań publicznych, wraz z udzieleniem dotacji</w:t>
        <w:br/>
        <w:t xml:space="preserve">na finansowanie ich realizacji,</w:t>
      </w:r>
      <w:r>
        <w:rPr>
          <w:rFonts w:cs="Tahoma"/>
        </w:rPr>
      </w:r>
      <w:r>
        <w:rPr>
          <w:rFonts w:cs="Tahoma"/>
        </w:rPr>
      </w:r>
    </w:p>
    <w:p>
      <w:pPr>
        <w:pStyle w:val="1_867"/>
        <w:numPr>
          <w:ilvl w:val="2"/>
          <w:numId w:val="2"/>
        </w:numPr>
        <w:pBdr/>
        <w:spacing w:line="276" w:lineRule="auto"/>
        <w:ind/>
        <w:jc w:val="both"/>
        <w:rPr>
          <w:rFonts w:cs="Tahoma"/>
        </w:rPr>
      </w:pPr>
      <w:r>
        <w:rPr>
          <w:rFonts w:cs="Tahoma"/>
        </w:rPr>
        <w:t xml:space="preserve">wspieranie zadań publicznych, wraz z udzieleniem dotacji na dofinansowanie ich realizacji,</w:t>
      </w:r>
      <w:r>
        <w:rPr>
          <w:rFonts w:cs="Tahoma"/>
        </w:rPr>
      </w:r>
      <w:r>
        <w:rPr>
          <w:rFonts w:cs="Tahoma"/>
        </w:rPr>
      </w:r>
    </w:p>
    <w:p>
      <w:pPr>
        <w:pStyle w:val="1_867"/>
        <w:numPr>
          <w:ilvl w:val="2"/>
          <w:numId w:val="2"/>
        </w:numPr>
        <w:pBdr/>
        <w:spacing w:line="276" w:lineRule="auto"/>
        <w:ind/>
        <w:jc w:val="both"/>
        <w:rPr>
          <w:rFonts w:cs="Times New Roman"/>
        </w:rPr>
      </w:pPr>
      <w:r>
        <w:rPr>
          <w:rFonts w:cs="Times New Roman"/>
        </w:rPr>
        <w:t xml:space="preserve">zlecania realizacji zadań publicznych z pominięciem otwartego konkursu ofert,</w:t>
        <w:br/>
        <w:t xml:space="preserve">tzw. tryb uproszczony, zgodnie z przepisami określonymi w art. 19a ustawy,</w:t>
      </w:r>
      <w:r>
        <w:rPr>
          <w:rFonts w:cs="Times New Roman"/>
        </w:rPr>
      </w:r>
      <w:r>
        <w:rPr>
          <w:rFonts w:cs="Times New Roman"/>
        </w:rPr>
      </w:r>
    </w:p>
    <w:p>
      <w:pPr>
        <w:pStyle w:val="1_867"/>
        <w:pBdr/>
        <w:spacing w:line="276" w:lineRule="auto"/>
        <w:ind/>
        <w:jc w:val="both"/>
        <w:rPr>
          <w:rFonts w:cs="Tahoma"/>
        </w:rPr>
      </w:pPr>
      <w:r>
        <w:rPr>
          <w:rFonts w:cs="Tahoma"/>
        </w:rPr>
        <w:tab/>
        <w:t xml:space="preserve">b) zakup usług dotyczących realizacji zadań publicznych na zasadach i w trybie, określonych </w:t>
        <w:tab/>
        <w:t xml:space="preserve">    w przepisach o zamówieniach publicznych,</w:t>
      </w:r>
      <w:r>
        <w:rPr>
          <w:rFonts w:cs="Tahoma"/>
        </w:rPr>
      </w:r>
      <w:r>
        <w:rPr>
          <w:rFonts w:cs="Tahoma"/>
        </w:rPr>
      </w:r>
    </w:p>
    <w:p>
      <w:pPr>
        <w:pStyle w:val="1_867"/>
        <w:pBdr/>
        <w:spacing w:line="276" w:lineRule="auto"/>
        <w:ind/>
        <w:jc w:val="both"/>
        <w:rPr/>
      </w:pPr>
      <w:r>
        <w:rPr>
          <w:rStyle w:val="1_866"/>
          <w:rFonts w:cs="Tahoma"/>
        </w:rPr>
        <w:t xml:space="preserve">3. Formy współpracy </w:t>
      </w:r>
      <w:r>
        <w:rPr>
          <w:rStyle w:val="1_866"/>
          <w:rFonts w:cs="Tahoma"/>
          <w:b/>
          <w:bCs/>
        </w:rPr>
        <w:t xml:space="preserve">pozafinansowej:</w:t>
      </w:r>
      <w:r/>
      <w:r/>
    </w:p>
    <w:p>
      <w:pPr>
        <w:pStyle w:val="1_867"/>
        <w:pBdr/>
        <w:spacing w:line="276" w:lineRule="auto"/>
        <w:ind/>
        <w:jc w:val="both"/>
        <w:rPr/>
      </w:pPr>
      <w:r>
        <w:rPr>
          <w:rStyle w:val="1_866"/>
          <w:rFonts w:cs="Tahoma"/>
        </w:rPr>
        <w:tab/>
        <w:t xml:space="preserve">a) </w:t>
      </w:r>
      <w:r>
        <w:rPr>
          <w:rStyle w:val="1_866"/>
          <w:rFonts w:cs="Tahoma"/>
          <w:u w:val="single"/>
        </w:rPr>
        <w:t xml:space="preserve">o charakterze informacyjnym:</w:t>
      </w:r>
      <w:r/>
      <w:r/>
    </w:p>
    <w:p>
      <w:pPr>
        <w:pStyle w:val="1_867"/>
        <w:numPr>
          <w:ilvl w:val="2"/>
          <w:numId w:val="3"/>
        </w:numPr>
        <w:pBdr/>
        <w:spacing w:line="276" w:lineRule="auto"/>
        <w:ind/>
        <w:jc w:val="both"/>
        <w:rPr>
          <w:rFonts w:cs="Tahoma"/>
        </w:rPr>
      </w:pPr>
      <w:r>
        <w:rPr>
          <w:rFonts w:cs="Tahoma"/>
        </w:rPr>
        <w:t xml:space="preserve">konsultowanie z podmiotami programu, projektów aktów normatywnych                          w dziedzinach dotyczących  działalności statutowej tych organizacji,</w:t>
      </w:r>
      <w:r>
        <w:rPr>
          <w:rFonts w:cs="Tahoma"/>
        </w:rPr>
      </w:r>
      <w:r>
        <w:rPr>
          <w:rFonts w:cs="Tahoma"/>
        </w:rPr>
      </w:r>
    </w:p>
    <w:p>
      <w:pPr>
        <w:pStyle w:val="1_867"/>
        <w:numPr>
          <w:ilvl w:val="2"/>
          <w:numId w:val="3"/>
        </w:numPr>
        <w:pBdr/>
        <w:spacing w:line="276" w:lineRule="auto"/>
        <w:ind/>
        <w:jc w:val="both"/>
        <w:rPr>
          <w:rFonts w:cs="Tahoma"/>
        </w:rPr>
      </w:pPr>
      <w:r>
        <w:rPr>
          <w:rFonts w:cs="Tahoma"/>
        </w:rPr>
        <w:t xml:space="preserve">udzielanie organizacjom, informacji o istnieniu innych źródeł finansowania,</w:t>
      </w:r>
      <w:r>
        <w:rPr>
          <w:rFonts w:cs="Tahoma"/>
        </w:rPr>
      </w:r>
      <w:r>
        <w:rPr>
          <w:rFonts w:cs="Tahoma"/>
        </w:rPr>
      </w:r>
    </w:p>
    <w:p>
      <w:pPr>
        <w:pStyle w:val="1_867"/>
        <w:numPr>
          <w:ilvl w:val="2"/>
          <w:numId w:val="3"/>
        </w:numPr>
        <w:pBdr/>
        <w:spacing w:line="276" w:lineRule="auto"/>
        <w:ind/>
        <w:jc w:val="both"/>
        <w:rPr>
          <w:rFonts w:cs="Tahoma"/>
        </w:rPr>
      </w:pPr>
      <w:r>
        <w:rPr>
          <w:rFonts w:cs="Tahoma"/>
        </w:rPr>
        <w:t xml:space="preserve">prowadzenie i aktualizacja wykazu organizacji pozarządowych i innych podmiotów na stronach internetowych Urzędu,</w:t>
      </w:r>
      <w:r>
        <w:rPr>
          <w:rFonts w:cs="Tahoma"/>
        </w:rPr>
      </w:r>
      <w:r>
        <w:rPr>
          <w:rFonts w:cs="Tahoma"/>
        </w:rPr>
      </w:r>
    </w:p>
    <w:p>
      <w:pPr>
        <w:pStyle w:val="1_867"/>
        <w:numPr>
          <w:ilvl w:val="2"/>
          <w:numId w:val="3"/>
        </w:numPr>
        <w:pBdr/>
        <w:spacing w:line="276" w:lineRule="auto"/>
        <w:ind/>
        <w:jc w:val="both"/>
        <w:rPr>
          <w:rFonts w:cs="Tahoma"/>
        </w:rPr>
      </w:pPr>
      <w:r>
        <w:rPr>
          <w:rFonts w:cs="Tahoma"/>
        </w:rPr>
        <w:t xml:space="preserve">zorganizowanie w miarę potrzeb spotkań przedstawicieli samorządu z organizacjami pozarządowymi, a także konsultowanie programu współpracy na kolejny rok</w:t>
        <w:br/>
        <w:t xml:space="preserve">oraz wzajemne informowanie się o kierunkach działań planowanych w roku następnym,</w:t>
      </w:r>
      <w:r>
        <w:rPr>
          <w:rFonts w:cs="Tahoma"/>
        </w:rPr>
      </w:r>
      <w:r>
        <w:rPr>
          <w:rFonts w:cs="Tahoma"/>
        </w:rPr>
      </w:r>
    </w:p>
    <w:p>
      <w:pPr>
        <w:pStyle w:val="1_867"/>
        <w:numPr>
          <w:ilvl w:val="2"/>
          <w:numId w:val="3"/>
        </w:numPr>
        <w:pBdr/>
        <w:spacing w:line="276" w:lineRule="auto"/>
        <w:ind/>
        <w:jc w:val="both"/>
        <w:rPr>
          <w:rFonts w:cs="Tahoma"/>
        </w:rPr>
      </w:pPr>
      <w:r>
        <w:rPr>
          <w:rFonts w:cs="Tahoma"/>
        </w:rPr>
        <w:t xml:space="preserve">zorganizowanie w miarę potrzeb szkoleń  w zakresie aplikowania o środki finansowe i rozliczania środków finansowych pozyskiwanych przez organizacje pozarządowe         i inne podmioty na swoją działalność statutową,</w:t>
      </w:r>
      <w:r>
        <w:rPr>
          <w:rFonts w:cs="Tahoma"/>
        </w:rPr>
      </w:r>
      <w:r>
        <w:rPr>
          <w:rFonts w:cs="Tahoma"/>
        </w:rPr>
      </w:r>
    </w:p>
    <w:p>
      <w:pPr>
        <w:pStyle w:val="1_867"/>
        <w:numPr>
          <w:ilvl w:val="2"/>
          <w:numId w:val="3"/>
        </w:numPr>
        <w:pBdr/>
        <w:spacing w:line="276" w:lineRule="auto"/>
        <w:ind/>
        <w:jc w:val="both"/>
        <w:rPr>
          <w:rFonts w:cs="Tahoma"/>
        </w:rPr>
      </w:pPr>
      <w:r>
        <w:rPr>
          <w:rFonts w:cs="Tahoma"/>
        </w:rPr>
        <w:t xml:space="preserve">prowadzenie na stronie internetowej urzędu zakł</w:t>
      </w:r>
      <w:r>
        <w:rPr>
          <w:rFonts w:cs="Tahoma"/>
        </w:rPr>
        <w:t xml:space="preserve">adki: ,,Organizacje pozarządowe”, gdzie każda z organizacji, w porozumieniu z pracownikiem urzędu, będzie mogła zamieścić swoje ogłoszenie lub inne ważne informacje. W okienku tym zamieszczane będą również ogłoszenia kierowane do organizacji pozarządowych,</w:t>
      </w:r>
      <w:r>
        <w:rPr>
          <w:rFonts w:cs="Tahoma"/>
        </w:rPr>
      </w:r>
      <w:r>
        <w:rPr>
          <w:rFonts w:cs="Tahoma"/>
        </w:rPr>
      </w:r>
    </w:p>
    <w:p>
      <w:pPr>
        <w:pStyle w:val="1_867"/>
        <w:pBdr/>
        <w:spacing w:line="276" w:lineRule="auto"/>
        <w:ind/>
        <w:jc w:val="both"/>
        <w:rPr/>
      </w:pPr>
      <w:r>
        <w:rPr>
          <w:rStyle w:val="1_866"/>
          <w:rFonts w:cs="Tahoma"/>
        </w:rPr>
        <w:tab/>
        <w:t xml:space="preserve">b) </w:t>
      </w:r>
      <w:r>
        <w:rPr>
          <w:rStyle w:val="1_866"/>
          <w:rFonts w:cs="Tahoma"/>
          <w:u w:val="single"/>
        </w:rPr>
        <w:t xml:space="preserve">o charakterze promocyjnym:</w:t>
      </w:r>
      <w:r/>
      <w:r/>
    </w:p>
    <w:p>
      <w:pPr>
        <w:pStyle w:val="1_867"/>
        <w:numPr>
          <w:ilvl w:val="2"/>
          <w:numId w:val="4"/>
        </w:numPr>
        <w:pBdr/>
        <w:spacing w:line="276" w:lineRule="auto"/>
        <w:ind/>
        <w:jc w:val="both"/>
        <w:rPr>
          <w:rFonts w:cs="Tahoma"/>
        </w:rPr>
      </w:pPr>
      <w:r>
        <w:rPr>
          <w:rFonts w:cs="Tahoma"/>
        </w:rPr>
        <w:t xml:space="preserve">promocja działalności podmiotów programu poprzez publikację informacji na temat ich działalności na stronie internetowej urzędu oraz w aplikacji mobilnej ePionki,</w:t>
      </w:r>
      <w:r>
        <w:rPr>
          <w:rFonts w:cs="Tahoma"/>
        </w:rPr>
      </w:r>
      <w:r>
        <w:rPr>
          <w:rFonts w:cs="Tahoma"/>
        </w:rPr>
      </w:r>
    </w:p>
    <w:p>
      <w:pPr>
        <w:pStyle w:val="1_867"/>
        <w:numPr>
          <w:ilvl w:val="2"/>
          <w:numId w:val="4"/>
        </w:numPr>
        <w:pBdr/>
        <w:spacing w:line="276" w:lineRule="auto"/>
        <w:ind/>
        <w:jc w:val="both"/>
        <w:rPr>
          <w:rFonts w:cs="Tahoma"/>
        </w:rPr>
      </w:pPr>
      <w:r>
        <w:rPr>
          <w:rFonts w:cs="Tahoma"/>
        </w:rPr>
        <w:t xml:space="preserve">promocja idei wolontariatu na stronie internetowej urzędu,</w:t>
      </w:r>
      <w:r>
        <w:rPr>
          <w:rFonts w:cs="Tahoma"/>
        </w:rPr>
      </w:r>
      <w:r>
        <w:rPr>
          <w:rFonts w:cs="Tahoma"/>
        </w:rPr>
      </w:r>
    </w:p>
    <w:p>
      <w:pPr>
        <w:pStyle w:val="1_867"/>
        <w:numPr>
          <w:ilvl w:val="2"/>
          <w:numId w:val="4"/>
        </w:numPr>
        <w:pBdr/>
        <w:spacing w:line="276" w:lineRule="auto"/>
        <w:ind/>
        <w:jc w:val="both"/>
        <w:rPr>
          <w:rFonts w:cs="Tahoma"/>
        </w:rPr>
      </w:pPr>
      <w:r>
        <w:rPr>
          <w:rFonts w:cs="Tahoma"/>
        </w:rPr>
        <w:t xml:space="preserve">udzielanie rekomendacji organizacjom pozarządowym współpracującym z gminą, ubiegającym się o dofinansowanie z innych źródeł,</w:t>
      </w:r>
      <w:r>
        <w:rPr>
          <w:rFonts w:cs="Tahoma"/>
        </w:rPr>
      </w:r>
      <w:r>
        <w:rPr>
          <w:rFonts w:cs="Tahoma"/>
        </w:rPr>
      </w:r>
    </w:p>
    <w:p>
      <w:pPr>
        <w:pStyle w:val="1_867"/>
        <w:numPr>
          <w:ilvl w:val="2"/>
          <w:numId w:val="4"/>
        </w:numPr>
        <w:pBdr/>
        <w:spacing w:line="276" w:lineRule="auto"/>
        <w:ind/>
        <w:jc w:val="both"/>
        <w:rPr>
          <w:rFonts w:cs="Tahoma"/>
        </w:rPr>
      </w:pPr>
      <w:r>
        <w:rPr>
          <w:rFonts w:cs="Tahoma"/>
        </w:rPr>
        <w:t xml:space="preserve">obejmowanie na wniosek organizacji patronatem Burmistrza Miasta Pionki przedsięwzięć realizowanych przez organizacje pozarządowe,</w:t>
      </w:r>
      <w:r>
        <w:rPr>
          <w:rFonts w:cs="Tahoma"/>
        </w:rPr>
      </w:r>
      <w:r>
        <w:rPr>
          <w:rFonts w:cs="Tahoma"/>
        </w:rPr>
      </w:r>
    </w:p>
    <w:p>
      <w:pPr>
        <w:pStyle w:val="1_867"/>
        <w:pBdr/>
        <w:spacing w:line="276" w:lineRule="auto"/>
        <w:ind/>
        <w:jc w:val="both"/>
        <w:rPr/>
      </w:pPr>
      <w:r>
        <w:rPr>
          <w:rStyle w:val="1_866"/>
          <w:rFonts w:cs="Tahoma"/>
        </w:rPr>
        <w:tab/>
        <w:t xml:space="preserve">c) </w:t>
      </w:r>
      <w:r>
        <w:rPr>
          <w:rStyle w:val="1_866"/>
          <w:rFonts w:cs="Tahoma"/>
          <w:u w:val="single"/>
        </w:rPr>
        <w:t xml:space="preserve">o charakterze organizacyjnym:</w:t>
      </w:r>
      <w:r/>
      <w:r/>
    </w:p>
    <w:p>
      <w:pPr>
        <w:pStyle w:val="1_867"/>
        <w:numPr>
          <w:ilvl w:val="2"/>
          <w:numId w:val="5"/>
        </w:numPr>
        <w:pBdr/>
        <w:spacing w:line="276" w:lineRule="auto"/>
        <w:ind/>
        <w:jc w:val="both"/>
        <w:rPr>
          <w:rFonts w:cs="Tahoma"/>
        </w:rPr>
      </w:pPr>
      <w:r>
        <w:rPr>
          <w:rFonts w:cs="Tahoma"/>
        </w:rPr>
        <w:t xml:space="preserve">umożliwianie organizacjom pozarządowym nabywania na szczególnych warunkach prawa użytkowania (dzierżawa, najem, bezpłatne użyczenie) nieruchomości lub lok</w:t>
      </w:r>
      <w:r>
        <w:rPr>
          <w:rFonts w:cs="Tahoma"/>
        </w:rPr>
        <w:t xml:space="preserve">ali  będących własnością gminy dla celów prowadzenia działalności statutowej tych organizacji lub nieodpłatne udostępnianie obiektów gminnych do realizacji zadań, będących treścią umowy na wsparcie lub realizację zadania publicznego, zleconego przez gminę,</w:t>
      </w:r>
      <w:r>
        <w:rPr>
          <w:rFonts w:cs="Tahoma"/>
        </w:rPr>
      </w:r>
      <w:r>
        <w:rPr>
          <w:rFonts w:cs="Tahoma"/>
        </w:rPr>
      </w:r>
    </w:p>
    <w:p>
      <w:pPr>
        <w:pStyle w:val="1_867"/>
        <w:numPr>
          <w:ilvl w:val="2"/>
          <w:numId w:val="5"/>
        </w:numPr>
        <w:pBdr/>
        <w:spacing w:line="276" w:lineRule="auto"/>
        <w:ind/>
        <w:jc w:val="both"/>
        <w:rPr>
          <w:rFonts w:cs="Tahoma"/>
        </w:rPr>
      </w:pPr>
      <w:r>
        <w:rPr>
          <w:rFonts w:cs="Tahoma"/>
        </w:rPr>
        <w:t xml:space="preserve">udzielanie pomocy przy organizowaniu różnego rodzaju spotkań otwartych i zebrań, których tematyka wiąże się z zakresem działalności organizacji, np. poprzez nieodpłatne udostępnienie lokalu będącego w zasobach gminy,</w:t>
      </w:r>
      <w:r>
        <w:rPr>
          <w:rFonts w:cs="Tahoma"/>
        </w:rPr>
      </w:r>
      <w:r>
        <w:rPr>
          <w:rFonts w:cs="Tahoma"/>
        </w:rPr>
      </w:r>
    </w:p>
    <w:p>
      <w:pPr>
        <w:pStyle w:val="1_867"/>
        <w:numPr>
          <w:ilvl w:val="2"/>
          <w:numId w:val="5"/>
        </w:numPr>
        <w:pBdr/>
        <w:spacing w:line="276" w:lineRule="auto"/>
        <w:ind/>
        <w:jc w:val="both"/>
        <w:rPr>
          <w:rFonts w:cs="Tahoma"/>
        </w:rPr>
      </w:pPr>
      <w:r>
        <w:rPr>
          <w:rFonts w:cs="Tahoma"/>
        </w:rPr>
        <w:t xml:space="preserve">pomoc w nawiązywaniu kontaktów zagranicznych z organizacjami o podobnym charakterze,</w:t>
      </w:r>
      <w:r>
        <w:rPr>
          <w:rFonts w:cs="Tahoma"/>
        </w:rPr>
      </w:r>
      <w:r>
        <w:rPr>
          <w:rFonts w:cs="Tahoma"/>
        </w:rPr>
      </w:r>
    </w:p>
    <w:p>
      <w:pPr>
        <w:pStyle w:val="1_867"/>
        <w:numPr>
          <w:ilvl w:val="2"/>
          <w:numId w:val="5"/>
        </w:numPr>
        <w:pBdr/>
        <w:spacing w:line="276" w:lineRule="auto"/>
        <w:ind/>
        <w:jc w:val="both"/>
        <w:rPr>
          <w:rFonts w:cs="Tahoma"/>
        </w:rPr>
      </w:pPr>
      <w:r>
        <w:rPr>
          <w:rFonts w:cs="Tahoma"/>
        </w:rPr>
        <w:t xml:space="preserve">tworzenie wspólnych zespołów o charakterze doradczym i inicjatywnym oraz organizowanie ich pracy (m.in. Rada Seniorów),</w:t>
      </w:r>
      <w:r>
        <w:rPr>
          <w:rFonts w:cs="Tahoma"/>
        </w:rPr>
      </w:r>
      <w:r>
        <w:rPr>
          <w:rFonts w:cs="Tahoma"/>
        </w:rPr>
      </w:r>
    </w:p>
    <w:p>
      <w:pPr>
        <w:pStyle w:val="1_867"/>
        <w:pBdr/>
        <w:spacing w:line="276" w:lineRule="auto"/>
        <w:ind/>
        <w:jc w:val="both"/>
        <w:rPr/>
      </w:pPr>
      <w:r>
        <w:rPr>
          <w:rStyle w:val="1_866"/>
          <w:rFonts w:cs="Tahoma"/>
        </w:rPr>
        <w:tab/>
        <w:t xml:space="preserve">d) </w:t>
      </w:r>
      <w:r>
        <w:rPr>
          <w:rStyle w:val="1_866"/>
          <w:rFonts w:cs="Tahoma"/>
          <w:u w:val="single"/>
        </w:rPr>
        <w:t xml:space="preserve">pomoc techniczna:</w:t>
      </w:r>
      <w:r>
        <w:rPr>
          <w:rStyle w:val="1_866"/>
          <w:rFonts w:eastAsia="Times New Roman" w:cs="Times New Roman"/>
        </w:rPr>
        <w:t xml:space="preserve">                     </w:t>
      </w:r>
      <w:r/>
      <w:r/>
    </w:p>
    <w:p>
      <w:pPr>
        <w:pStyle w:val="1_867"/>
        <w:numPr>
          <w:ilvl w:val="2"/>
          <w:numId w:val="6"/>
        </w:numPr>
        <w:pBdr/>
        <w:spacing w:line="276" w:lineRule="auto"/>
        <w:ind/>
        <w:jc w:val="both"/>
        <w:rPr/>
      </w:pPr>
      <w:r>
        <w:rPr>
          <w:rStyle w:val="1_866"/>
          <w:rFonts w:cs="Tahoma"/>
        </w:rPr>
        <w:t xml:space="preserve">pomoc, w miarę możliwości, w organizowaniu środków transportu do przewozu    </w:t>
      </w:r>
      <w:r>
        <w:rPr>
          <w:rStyle w:val="1_866"/>
          <w:rFonts w:eastAsia="Times New Roman" w:cs="Times New Roman"/>
        </w:rPr>
        <w:t xml:space="preserve">                       </w:t>
      </w:r>
      <w:r>
        <w:rPr>
          <w:rStyle w:val="1_866"/>
          <w:rFonts w:cs="Tahoma"/>
        </w:rPr>
        <w:t xml:space="preserve">osób i materiałów, związanych z wykonywaniem zadań </w:t>
      </w:r>
      <w:r>
        <w:rPr>
          <w:rStyle w:val="1_866"/>
          <w:rFonts w:cs="Tahoma"/>
        </w:rPr>
        <w:t xml:space="preserve">publicznych zlecanych      przez gminę,</w:t>
      </w:r>
      <w:r/>
      <w:r/>
    </w:p>
    <w:p>
      <w:pPr>
        <w:pStyle w:val="1_867"/>
        <w:numPr>
          <w:ilvl w:val="2"/>
          <w:numId w:val="6"/>
        </w:numPr>
        <w:pBdr/>
        <w:spacing w:line="276" w:lineRule="auto"/>
        <w:ind/>
        <w:jc w:val="both"/>
        <w:rPr>
          <w:rFonts w:cs="Tahoma"/>
        </w:rPr>
      </w:pPr>
      <w:r>
        <w:rPr>
          <w:rFonts w:cs="Tahoma"/>
        </w:rPr>
        <w:t xml:space="preserve">udostępnianie, w miarę możliwości, pomieszczeń lub użyczanie sprzętu służącego</w:t>
        <w:br/>
        <w:t xml:space="preserve">do realizacji zadań publicznych zlecanych przez gminę,</w:t>
      </w:r>
      <w:r>
        <w:rPr>
          <w:rFonts w:cs="Tahoma"/>
        </w:rPr>
      </w:r>
      <w:r>
        <w:rPr>
          <w:rFonts w:cs="Tahoma"/>
        </w:rPr>
      </w:r>
    </w:p>
    <w:p>
      <w:pPr>
        <w:pStyle w:val="1_867"/>
        <w:numPr>
          <w:ilvl w:val="2"/>
          <w:numId w:val="6"/>
        </w:numPr>
        <w:pBdr/>
        <w:spacing w:line="276" w:lineRule="auto"/>
        <w:ind/>
        <w:jc w:val="both"/>
        <w:rPr>
          <w:rFonts w:cs="Tahoma"/>
        </w:rPr>
      </w:pPr>
      <w:r>
        <w:rPr>
          <w:rFonts w:cs="Tahoma"/>
        </w:rPr>
        <w:t xml:space="preserve">przekazywanie podmiotom programu, nieodpłatnie, w miarę możliwości, środków trwałych, sprzętu i wyposażenia.</w:t>
      </w:r>
      <w:r>
        <w:rPr>
          <w:rFonts w:cs="Tahoma"/>
        </w:rPr>
      </w:r>
      <w:r>
        <w:rPr>
          <w:rFonts w:cs="Tahoma"/>
        </w:rPr>
      </w:r>
    </w:p>
    <w:p>
      <w:pPr>
        <w:pStyle w:val="1_867"/>
        <w:pBdr/>
        <w:spacing w:line="276" w:lineRule="auto"/>
        <w:ind/>
        <w:jc w:val="both"/>
        <w:rPr>
          <w:rFonts w:cs="Tahoma"/>
        </w:rPr>
      </w:pPr>
      <w:r>
        <w:rPr>
          <w:rFonts w:cs="Tahoma"/>
        </w:rPr>
      </w:r>
      <w:r>
        <w:rPr>
          <w:rFonts w:cs="Tahoma"/>
        </w:rPr>
      </w:r>
      <w:r>
        <w:rPr>
          <w:rFonts w:cs="Tahoma"/>
        </w:rPr>
      </w:r>
    </w:p>
    <w:p>
      <w:pPr>
        <w:pStyle w:val="1_867"/>
        <w:pBdr/>
        <w:spacing w:line="276" w:lineRule="auto"/>
        <w:ind/>
        <w:jc w:val="both"/>
        <w:rPr/>
      </w:pPr>
      <w:r>
        <w:rPr>
          <w:rStyle w:val="1_866"/>
          <w:rFonts w:cs="Times New Roman"/>
          <w:b/>
          <w:bCs/>
        </w:rPr>
        <w:t xml:space="preserve">§</w:t>
      </w:r>
      <w:r>
        <w:rPr>
          <w:rStyle w:val="1_866"/>
          <w:rFonts w:cs="Tahoma"/>
          <w:b/>
          <w:bCs/>
        </w:rPr>
        <w:t xml:space="preserve"> 7.</w:t>
      </w:r>
      <w:r>
        <w:rPr>
          <w:rStyle w:val="1_866"/>
          <w:rFonts w:cs="Tahoma"/>
        </w:rPr>
        <w:t xml:space="preserve">1.</w:t>
      </w:r>
      <w:r>
        <w:rPr>
          <w:rStyle w:val="1_866"/>
          <w:rFonts w:cs="Tahoma"/>
          <w:b/>
          <w:bCs/>
        </w:rPr>
        <w:t xml:space="preserve">W 2025 roku</w:t>
      </w:r>
      <w:r>
        <w:rPr>
          <w:rStyle w:val="1_866"/>
          <w:rFonts w:cs="Tahoma"/>
        </w:rPr>
        <w:t xml:space="preserve"> priorytetowe obszary współpracy gminy z organizacjami pozarządowymi</w:t>
      </w:r>
      <w:r>
        <w:rPr>
          <w:rStyle w:val="1_866"/>
          <w:rFonts w:cs="Tahoma"/>
        </w:rPr>
        <w:br/>
      </w:r>
      <w:r>
        <w:rPr>
          <w:rStyle w:val="1_866"/>
          <w:rFonts w:cs="Tahoma"/>
        </w:rPr>
        <w:t xml:space="preserve">i innymi podmiotami mogą obejmować:</w:t>
      </w:r>
      <w:r/>
      <w:r/>
    </w:p>
    <w:p>
      <w:pPr>
        <w:pStyle w:val="1_867"/>
        <w:numPr>
          <w:ilvl w:val="1"/>
          <w:numId w:val="7"/>
        </w:numPr>
        <w:pBdr/>
        <w:spacing w:line="276" w:lineRule="auto"/>
        <w:ind/>
        <w:jc w:val="both"/>
        <w:rPr>
          <w:rFonts w:cs="Tahoma"/>
        </w:rPr>
      </w:pPr>
      <w:r>
        <w:rPr>
          <w:rFonts w:cs="Tahoma"/>
        </w:rPr>
        <w:t xml:space="preserve">pomoc społeczną, w tym pomoc rodzinom i osobom w trudnej sytuacji życiowej oraz wyrównywanie szans tych rodzin i osób;</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działalność na rzecz integracji i reintegracji zawodowej i społecznej osób zagrożonych wykluczeniem społecznym;</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podtrzymywanie i upowszechnianie tradycji narodowej, pielęgnowanie polskości oraz rozwoju świadomości narodowej, obywatelskiej i kulturowej;</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ochronę i promocję zdrowia;</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działalność na rzecz osób niepełnosprawnych;</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działalność na rzecz osób w wieku emerytalnym;</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działalność wspomagającą rozwój gospodarczy, w tym rozwój przedsiębiorczości;</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działalność wspomagającą rozwój wspólnot i społeczności lokalnych;</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naukę, szkolnictwo wyższe, edukację, oświatę i wychowanie;</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działalność na rzecz dzieci i młodzieży, w tym wypoczynek dzieci i młodzieży;</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kulturę, sztukę, ochronę dóbr kultury i dziedzictwa narodowego;</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wspieranie i upowszechnianie kultury fizycznej i sportu;</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ekologię i ochronę zwierząt oraz ochronę dziedzictwa przyrodniczego;</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turystykę i krajoznawstwo;</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obronność państwa i działalność Sił Zbrojnych Rzeczypospolitej Polskiej;</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upowszechnianie i ochronę wolności i praw człowieka oraz swobód obywatelskich,              a także  działań wspierających rozwój demokracji;</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ratownictwo i ochronę ludności;</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pomoc ofiarom katastrofy, klęsk żywiołowych, konfliktów zbrojnych i wojen w kraju</w:t>
        <w:br/>
        <w:t xml:space="preserve">i za granicą;</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upowszechnianie i ochronę praw konsumentów;</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działalność na rzecz integracji europejskiej oraz rozwijania kontaktów i współpracy między społeczeństwami;</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promocję i organizację wolontariatu;</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pomoc Polonii i Polakom za granicą;</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działalność na rzecz kombatantów i osób represjonowanych;</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promocję Rzeczypospolitej Polskiej za granicą;</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działalność na rzecz rodziny, macierzyństwa, rodzicielstwa, upowszechniania i ochrony praw dziecka;</w:t>
      </w:r>
      <w:r>
        <w:rPr>
          <w:rFonts w:cs="Tahoma"/>
        </w:rPr>
      </w:r>
      <w:r>
        <w:rPr>
          <w:rFonts w:cs="Tahoma"/>
        </w:rPr>
      </w:r>
    </w:p>
    <w:p>
      <w:pPr>
        <w:pStyle w:val="1_867"/>
        <w:numPr>
          <w:ilvl w:val="1"/>
          <w:numId w:val="7"/>
        </w:numPr>
        <w:pBdr/>
        <w:spacing w:line="276" w:lineRule="auto"/>
        <w:ind/>
        <w:jc w:val="both"/>
        <w:rPr>
          <w:rFonts w:cs="Tahoma"/>
        </w:rPr>
      </w:pPr>
      <w:r>
        <w:rPr>
          <w:rFonts w:cs="Tahoma"/>
        </w:rPr>
        <w:t xml:space="preserve">przeciwdziałania uzależnieniom i patologiom społecznym.</w:t>
      </w:r>
      <w:r>
        <w:rPr>
          <w:rFonts w:cs="Tahoma"/>
        </w:rPr>
      </w:r>
      <w:r>
        <w:rPr>
          <w:rFonts w:cs="Tahoma"/>
        </w:rPr>
      </w:r>
    </w:p>
    <w:p>
      <w:pPr>
        <w:pStyle w:val="1_867"/>
        <w:pBdr/>
        <w:spacing w:line="276" w:lineRule="auto"/>
        <w:ind w:right="0" w:firstLine="0" w:left="1080"/>
        <w:jc w:val="both"/>
        <w:rPr>
          <w:rFonts w:cs="Tahoma"/>
        </w:rPr>
      </w:pPr>
      <w:r>
        <w:rPr>
          <w:rFonts w:cs="Tahoma"/>
        </w:rPr>
      </w:r>
      <w:r>
        <w:rPr>
          <w:rFonts w:cs="Tahoma"/>
        </w:rPr>
      </w:r>
      <w:r>
        <w:rPr>
          <w:rFonts w:cs="Tahoma"/>
        </w:rPr>
      </w:r>
    </w:p>
    <w:p>
      <w:pPr>
        <w:pStyle w:val="1_867"/>
        <w:pBdr/>
        <w:spacing w:line="276" w:lineRule="auto"/>
        <w:ind/>
        <w:jc w:val="both"/>
        <w:rPr/>
      </w:pPr>
      <w:r>
        <w:rPr>
          <w:rStyle w:val="1_866"/>
          <w:rFonts w:cs="Tahoma"/>
        </w:rPr>
        <w:t xml:space="preserve">2. Na realizację powyższych priorytetów w formie powierzania lub wspierania zadań zleconych</w:t>
      </w:r>
      <w:r>
        <w:rPr>
          <w:rStyle w:val="1_866"/>
          <w:rFonts w:cs="Tahoma"/>
        </w:rPr>
        <w:br/>
      </w:r>
      <w:r>
        <w:rPr>
          <w:rStyle w:val="1_866"/>
          <w:rFonts w:cs="Tahoma"/>
        </w:rPr>
        <w:t xml:space="preserve">przez gminę organizacjom pozarządowym i innym podmiotom, planuje się </w:t>
      </w:r>
      <w:r>
        <w:rPr>
          <w:rStyle w:val="1_866"/>
          <w:rFonts w:cs="Tahoma"/>
          <w:b/>
          <w:bCs/>
        </w:rPr>
        <w:t xml:space="preserve">kwotę około </w:t>
      </w:r>
      <w:r>
        <w:rPr>
          <w:rStyle w:val="1_866"/>
          <w:rFonts w:cs="Tahoma"/>
          <w:b/>
          <w:bCs/>
        </w:rPr>
        <w:br/>
      </w:r>
      <w:r>
        <w:rPr>
          <w:rStyle w:val="1_866"/>
          <w:rFonts w:cs="Tahoma"/>
          <w:b/>
          <w:bCs/>
        </w:rPr>
        <w:t xml:space="preserve">182.000,00 zł. (52.000,00 zł Urząd Miasta)</w:t>
      </w:r>
      <w:r/>
      <w:r/>
    </w:p>
    <w:p>
      <w:pPr>
        <w:pStyle w:val="1_867"/>
        <w:pBdr/>
        <w:spacing w:line="276" w:lineRule="auto"/>
        <w:ind w:right="0" w:hanging="359" w:left="720"/>
        <w:jc w:val="both"/>
        <w:rPr>
          <w:rFonts w:cs="Times New Roman"/>
          <w:b/>
          <w:bCs/>
          <w:color w:val="ff0000"/>
        </w:rPr>
      </w:pPr>
      <w:r>
        <w:rPr>
          <w:rFonts w:cs="Times New Roman"/>
          <w:b/>
          <w:bCs/>
          <w:color w:val="ff0000"/>
        </w:rPr>
      </w:r>
      <w:r>
        <w:rPr>
          <w:rFonts w:cs="Times New Roman"/>
          <w:b/>
          <w:bCs/>
          <w:color w:val="ff0000"/>
        </w:rPr>
      </w:r>
      <w:r>
        <w:rPr>
          <w:rFonts w:cs="Times New Roman"/>
          <w:b/>
          <w:bCs/>
          <w:color w:val="ff0000"/>
        </w:rPr>
      </w:r>
    </w:p>
    <w:p>
      <w:pPr>
        <w:pStyle w:val="1_867"/>
        <w:pBdr/>
        <w:spacing w:line="276" w:lineRule="auto"/>
        <w:ind/>
        <w:jc w:val="both"/>
        <w:rPr/>
      </w:pPr>
      <w:r>
        <w:rPr>
          <w:rStyle w:val="1_866"/>
          <w:rFonts w:cs="Times New Roman"/>
          <w:b/>
          <w:bCs/>
        </w:rPr>
        <w:t xml:space="preserve">§</w:t>
      </w:r>
      <w:r>
        <w:rPr>
          <w:rStyle w:val="1_866"/>
          <w:rFonts w:cs="Tahoma"/>
          <w:b/>
          <w:bCs/>
        </w:rPr>
        <w:t xml:space="preserve"> 8.</w:t>
      </w:r>
      <w:r>
        <w:rPr>
          <w:rStyle w:val="1_866"/>
          <w:rFonts w:cs="Tahoma"/>
        </w:rPr>
        <w:t xml:space="preserve">1. Zlecanie realizacji zadań publicznych orga</w:t>
      </w:r>
      <w:r>
        <w:rPr>
          <w:rStyle w:val="1_866"/>
          <w:rFonts w:cs="Tahoma"/>
        </w:rPr>
        <w:t xml:space="preserve">nizacjom pozarządowym lub innym podmiotom odbywać się będzie na zasadach określonych w ustawie, w trybie otwartego konkursu ofert, chyba, że przepisy odrębne, przewidują inny tryb zlecania zadania lub można je wykonać efektywniej,            w inny sposób.</w:t>
      </w:r>
      <w:r/>
      <w:r/>
    </w:p>
    <w:p>
      <w:pPr>
        <w:pStyle w:val="1_867"/>
        <w:pBdr/>
        <w:spacing w:line="276" w:lineRule="auto"/>
        <w:ind/>
        <w:jc w:val="both"/>
        <w:rPr>
          <w:rFonts w:cs="Tahoma"/>
        </w:rPr>
      </w:pPr>
      <w:r>
        <w:rPr>
          <w:rFonts w:cs="Tahoma"/>
        </w:rPr>
        <w:t xml:space="preserve">2. Organizacje pozarządowe lub inne podmioty mogą z własnej inicjatywy złożyć gminie ofertę dotyczącą realizacji zadań publicznych.</w:t>
      </w:r>
      <w:r>
        <w:rPr>
          <w:rFonts w:cs="Tahoma"/>
        </w:rPr>
      </w:r>
      <w:r>
        <w:rPr>
          <w:rFonts w:cs="Tahoma"/>
        </w:rPr>
      </w:r>
    </w:p>
    <w:p>
      <w:pPr>
        <w:pStyle w:val="1_867"/>
        <w:pBdr/>
        <w:spacing w:line="276" w:lineRule="auto"/>
        <w:ind/>
        <w:jc w:val="both"/>
        <w:rPr>
          <w:rFonts w:cs="Tahoma"/>
        </w:rPr>
      </w:pPr>
      <w:r>
        <w:rPr>
          <w:rFonts w:cs="Tahoma"/>
        </w:rPr>
        <w:t xml:space="preserve">3. Gmina, rozpatruje w trybie art. 12 ustawy, celowość zgłoszonych do realizacji zadań publicznych, o których jest mowa w art. 12 ust. 2 ustawy, biorąc pod uwagę:</w:t>
      </w:r>
      <w:r>
        <w:rPr>
          <w:rFonts w:cs="Tahoma"/>
        </w:rPr>
      </w:r>
      <w:r>
        <w:rPr>
          <w:rFonts w:cs="Tahoma"/>
        </w:rPr>
      </w:r>
    </w:p>
    <w:p>
      <w:pPr>
        <w:pStyle w:val="1_867"/>
        <w:pBdr/>
        <w:spacing w:line="276" w:lineRule="auto"/>
        <w:ind/>
        <w:jc w:val="both"/>
        <w:rPr/>
      </w:pPr>
      <w:r>
        <w:rPr>
          <w:rStyle w:val="1_866"/>
          <w:rFonts w:eastAsia="Times New Roman" w:cs="Times New Roman"/>
        </w:rPr>
        <w:tab/>
        <w:t xml:space="preserve">a) </w:t>
      </w:r>
      <w:r>
        <w:rPr>
          <w:rStyle w:val="1_866"/>
          <w:rFonts w:cs="Tahoma"/>
        </w:rPr>
        <w:t xml:space="preserve">celowość realizacji zadania publicznego;</w:t>
      </w:r>
      <w:r/>
      <w:r/>
    </w:p>
    <w:p>
      <w:pPr>
        <w:pStyle w:val="1_867"/>
        <w:pBdr/>
        <w:spacing w:line="276" w:lineRule="auto"/>
        <w:ind/>
        <w:jc w:val="both"/>
        <w:rPr/>
      </w:pPr>
      <w:r>
        <w:rPr>
          <w:rStyle w:val="1_866"/>
          <w:rFonts w:cs="Tahoma"/>
        </w:rPr>
        <w:tab/>
        <w:t xml:space="preserve">b) stopień w jakim wniosek odpowiada priorytetowym zadaniom publicznym;</w:t>
      </w:r>
      <w:r/>
      <w:r/>
    </w:p>
    <w:p>
      <w:pPr>
        <w:pStyle w:val="1_867"/>
        <w:pBdr/>
        <w:spacing w:line="276" w:lineRule="auto"/>
        <w:ind/>
        <w:jc w:val="both"/>
        <w:rPr/>
      </w:pPr>
      <w:r>
        <w:rPr>
          <w:rStyle w:val="1_866"/>
          <w:rFonts w:cs="Tahoma"/>
        </w:rPr>
        <w:tab/>
        <w:t xml:space="preserve">c) zapewnienie wysokiej jakości wykonania zadania;</w:t>
      </w:r>
      <w:r/>
      <w:r/>
    </w:p>
    <w:p>
      <w:pPr>
        <w:pStyle w:val="1_867"/>
        <w:pBdr/>
        <w:spacing w:line="276" w:lineRule="auto"/>
        <w:ind/>
        <w:jc w:val="both"/>
        <w:rPr/>
      </w:pPr>
      <w:r>
        <w:rPr>
          <w:rStyle w:val="1_866"/>
          <w:rFonts w:cs="Tahoma"/>
        </w:rPr>
        <w:tab/>
        <w:t xml:space="preserve">d) dostępność środków finansowych na jego realizację.</w:t>
      </w:r>
      <w:r/>
      <w:r/>
    </w:p>
    <w:p>
      <w:pPr>
        <w:pStyle w:val="1_867"/>
        <w:pBdr/>
        <w:spacing w:line="276" w:lineRule="auto"/>
        <w:ind/>
        <w:jc w:val="both"/>
        <w:rPr>
          <w:rFonts w:cs="Tahoma"/>
        </w:rPr>
      </w:pPr>
      <w:r>
        <w:rPr>
          <w:rFonts w:cs="Tahoma"/>
        </w:rPr>
        <w:t xml:space="preserve">4. Jeż</w:t>
      </w:r>
      <w:r>
        <w:rPr>
          <w:rFonts w:cs="Tahoma"/>
        </w:rPr>
        <w:t xml:space="preserve">eli dane zadanie można zrealizować efektywniej, powierzenie może nastąpić w innym trybie niż udzielenie dotacji w drodze otwartego konkursu ofert, w szczególności poprzez zakup usług</w:t>
        <w:br/>
        <w:t xml:space="preserve">na zasadach i trybie określonych w przepisach o zamówieniach publicznych.</w:t>
      </w:r>
      <w:r>
        <w:rPr>
          <w:rFonts w:cs="Tahoma"/>
        </w:rPr>
      </w:r>
      <w:r>
        <w:rPr>
          <w:rFonts w:cs="Tahoma"/>
        </w:rPr>
      </w:r>
    </w:p>
    <w:p>
      <w:pPr>
        <w:pStyle w:val="1_867"/>
        <w:pBdr/>
        <w:spacing w:line="276" w:lineRule="auto"/>
        <w:ind/>
        <w:jc w:val="both"/>
        <w:rPr>
          <w:rFonts w:cs="Tahoma"/>
        </w:rPr>
      </w:pPr>
      <w:r>
        <w:rPr>
          <w:rFonts w:cs="Tahoma"/>
        </w:rPr>
        <w:t xml:space="preserve">5. Na wniosek organizacji pozarządowej lub innego podmiotu komórka merytoryczna może zlecić realizację zadania publicznego o charakterze lokalnym w trybie udzielania, tzw. ,,małych dotacji”.</w:t>
      </w:r>
      <w:r>
        <w:rPr>
          <w:rFonts w:cs="Tahoma"/>
        </w:rPr>
      </w:r>
      <w:r>
        <w:rPr>
          <w:rFonts w:cs="Tahoma"/>
        </w:rPr>
      </w:r>
    </w:p>
    <w:p>
      <w:pPr>
        <w:pStyle w:val="1_867"/>
        <w:pBdr/>
        <w:spacing w:line="276" w:lineRule="auto"/>
        <w:ind/>
        <w:jc w:val="both"/>
        <w:rPr/>
      </w:pPr>
      <w:r>
        <w:rPr>
          <w:rStyle w:val="1_866"/>
          <w:rFonts w:cs="Tahoma"/>
        </w:rPr>
        <w:t xml:space="preserve">6. Zadania publiczne może być realizowane w ramach inicjatywy lokalnej, zgodnie z zasadami wynikającymi z ustawy.</w:t>
      </w:r>
      <w:r/>
      <w:r/>
    </w:p>
    <w:p>
      <w:pPr>
        <w:pStyle w:val="1_867"/>
        <w:pBdr/>
        <w:spacing w:line="276" w:lineRule="auto"/>
        <w:ind/>
        <w:jc w:val="both"/>
        <w:rPr>
          <w:rFonts w:cs="Tahoma"/>
          <w:b/>
          <w:bCs/>
        </w:rPr>
      </w:pPr>
      <w:r>
        <w:rPr>
          <w:rFonts w:cs="Tahoma"/>
          <w:b/>
          <w:bCs/>
        </w:rPr>
      </w:r>
      <w:r>
        <w:rPr>
          <w:rFonts w:cs="Tahoma"/>
          <w:b/>
          <w:bCs/>
        </w:rPr>
      </w:r>
      <w:r>
        <w:rPr>
          <w:rFonts w:cs="Tahoma"/>
          <w:b/>
          <w:bCs/>
        </w:rPr>
      </w:r>
    </w:p>
    <w:p>
      <w:pPr>
        <w:pStyle w:val="1_867"/>
        <w:pBdr/>
        <w:spacing w:line="276" w:lineRule="auto"/>
        <w:ind/>
        <w:jc w:val="both"/>
        <w:rPr>
          <w:rFonts w:cs="Tahoma"/>
          <w:b/>
          <w:bCs/>
          <w:sz w:val="26"/>
          <w:szCs w:val="26"/>
        </w:rPr>
      </w:pPr>
      <w:r>
        <w:rPr>
          <w:rFonts w:cs="Tahoma"/>
          <w:b/>
          <w:bCs/>
          <w:sz w:val="26"/>
          <w:szCs w:val="26"/>
        </w:rPr>
        <w:t xml:space="preserve">Rozdział IV. Zasady zlecania zadań publicznych w trybie tzw. ,,małych dotacji”</w:t>
      </w:r>
      <w:r>
        <w:rPr>
          <w:rFonts w:cs="Tahoma"/>
          <w:b/>
          <w:bCs/>
          <w:sz w:val="26"/>
          <w:szCs w:val="26"/>
        </w:rPr>
      </w:r>
      <w:r>
        <w:rPr>
          <w:rFonts w:cs="Tahoma"/>
          <w:b/>
          <w:bCs/>
          <w:sz w:val="26"/>
          <w:szCs w:val="26"/>
        </w:rPr>
      </w:r>
    </w:p>
    <w:p>
      <w:pPr>
        <w:pStyle w:val="1_867"/>
        <w:pBdr/>
        <w:spacing w:line="276" w:lineRule="auto"/>
        <w:ind/>
        <w:jc w:val="both"/>
        <w:rPr>
          <w:rFonts w:cs="Tahoma"/>
          <w:b/>
          <w:bCs/>
          <w:sz w:val="26"/>
          <w:szCs w:val="26"/>
        </w:rPr>
      </w:pPr>
      <w:r>
        <w:rPr>
          <w:rFonts w:cs="Tahoma"/>
          <w:b/>
          <w:bCs/>
          <w:sz w:val="26"/>
          <w:szCs w:val="26"/>
        </w:rPr>
      </w:r>
      <w:r>
        <w:rPr>
          <w:rFonts w:cs="Tahoma"/>
          <w:b/>
          <w:bCs/>
          <w:sz w:val="26"/>
          <w:szCs w:val="26"/>
        </w:rPr>
      </w:r>
      <w:r>
        <w:rPr>
          <w:rFonts w:cs="Tahoma"/>
          <w:b/>
          <w:bCs/>
          <w:sz w:val="26"/>
          <w:szCs w:val="26"/>
        </w:rPr>
      </w:r>
    </w:p>
    <w:p>
      <w:pPr>
        <w:pStyle w:val="1_867"/>
        <w:pBdr/>
        <w:spacing w:line="276" w:lineRule="auto"/>
        <w:ind/>
        <w:jc w:val="both"/>
        <w:rPr/>
      </w:pPr>
      <w:r>
        <w:rPr>
          <w:rStyle w:val="1_866"/>
          <w:rFonts w:cs="Times New Roman"/>
          <w:b/>
          <w:bCs/>
        </w:rPr>
        <w:t xml:space="preserve">§</w:t>
      </w:r>
      <w:r>
        <w:rPr>
          <w:rStyle w:val="1_866"/>
          <w:rFonts w:cs="Tahoma"/>
          <w:b/>
          <w:bCs/>
        </w:rPr>
        <w:t xml:space="preserve"> 9.</w:t>
      </w:r>
      <w:r>
        <w:rPr>
          <w:rStyle w:val="1_866"/>
          <w:rFonts w:cs="Tahoma"/>
        </w:rPr>
        <w:t xml:space="preserve">1. Zlecanie zadań publicznych o charakterze lokalnym do realizacji organizacjom pozarządowym i innym podmiotom w trybie tzw. „małych dotacji” może </w:t>
      </w:r>
      <w:r>
        <w:rPr>
          <w:rStyle w:val="1_866"/>
          <w:rFonts w:cs="Tahoma"/>
        </w:rPr>
        <w:t xml:space="preserve">nastąpić przy zachowaniu łącznie następujących warunków:</w:t>
      </w:r>
      <w:r/>
      <w:r/>
    </w:p>
    <w:p>
      <w:pPr>
        <w:pStyle w:val="1_867"/>
        <w:pBdr/>
        <w:spacing w:line="276" w:lineRule="auto"/>
        <w:ind/>
        <w:jc w:val="both"/>
        <w:rPr/>
      </w:pPr>
      <w:r>
        <w:rPr>
          <w:rStyle w:val="1_866"/>
          <w:rFonts w:cs="Tahoma"/>
        </w:rPr>
        <w:tab/>
        <w:t xml:space="preserve">a) wysokość dofinansowania lub finansowania zadania publicznego nie może przekroczyć </w:t>
      </w:r>
      <w:r>
        <w:rPr>
          <w:rStyle w:val="1_866"/>
          <w:rFonts w:cs="Tahoma"/>
          <w:b/>
          <w:bCs/>
        </w:rPr>
        <w:t xml:space="preserve">10.000,00 zł.,</w:t>
      </w:r>
      <w:r/>
      <w:r/>
    </w:p>
    <w:p>
      <w:pPr>
        <w:pStyle w:val="1_867"/>
        <w:pBdr/>
        <w:spacing w:line="276" w:lineRule="auto"/>
        <w:ind/>
        <w:jc w:val="both"/>
        <w:rPr/>
      </w:pPr>
      <w:r>
        <w:rPr>
          <w:rStyle w:val="1_866"/>
          <w:rFonts w:cs="Tahoma"/>
        </w:rPr>
        <w:tab/>
        <w:t xml:space="preserve">b) termin realizacji zadania nie może przekroczyć </w:t>
      </w:r>
      <w:r>
        <w:rPr>
          <w:rStyle w:val="1_866"/>
          <w:rFonts w:cs="Tahoma"/>
          <w:b/>
          <w:bCs/>
        </w:rPr>
        <w:t xml:space="preserve">90 dni,</w:t>
      </w:r>
      <w:r/>
      <w:r/>
    </w:p>
    <w:p>
      <w:pPr>
        <w:pStyle w:val="1_867"/>
        <w:pBdr/>
        <w:spacing w:line="276" w:lineRule="auto"/>
        <w:ind/>
        <w:jc w:val="both"/>
        <w:rPr/>
      </w:pPr>
      <w:r>
        <w:rPr>
          <w:rStyle w:val="1_866"/>
          <w:rFonts w:cs="Tahoma"/>
        </w:rPr>
        <w:tab/>
        <w:t xml:space="preserve">c) łączna kwota środków </w:t>
      </w:r>
      <w:r>
        <w:rPr>
          <w:rStyle w:val="1_866"/>
          <w:rFonts w:cs="Tahoma"/>
        </w:rPr>
        <w:t xml:space="preserve">finansowych przekazywanych przez Urząd tej samej organizacji </w:t>
      </w:r>
      <w:r>
        <w:rPr>
          <w:rStyle w:val="1_866"/>
          <w:rFonts w:cs="Tahoma"/>
        </w:rPr>
        <w:t xml:space="preserve">pozarządowej lub temu samemu innemu podmiotowi w tym samym roku kalendarzowym, nie może przekroczyć kwoty </w:t>
      </w:r>
      <w:r>
        <w:rPr>
          <w:rStyle w:val="1_866"/>
          <w:rFonts w:cs="Tahoma"/>
          <w:b/>
          <w:bCs/>
        </w:rPr>
        <w:t xml:space="preserve">20.000,00 zł.,</w:t>
      </w:r>
      <w:r/>
      <w:r/>
    </w:p>
    <w:p>
      <w:pPr>
        <w:pStyle w:val="1_867"/>
        <w:pBdr/>
        <w:spacing w:line="276" w:lineRule="auto"/>
        <w:ind/>
        <w:jc w:val="both"/>
        <w:rPr/>
      </w:pPr>
      <w:r>
        <w:rPr>
          <w:rStyle w:val="1_866"/>
          <w:rFonts w:cs="Tahoma"/>
        </w:rPr>
        <w:tab/>
        <w:t xml:space="preserve">d) wysokość środków finansowych przekazywanych przez komórkę merytoryczną w trybie tzw. „małych dotacji” nie może przekroczyć kwoty 20% dotacji planowanych w roku budżetowym na realizację zadań publicznych przez podmioty programu.</w:t>
      </w:r>
      <w:r/>
      <w:r/>
    </w:p>
    <w:p>
      <w:pPr>
        <w:pStyle w:val="1_867"/>
        <w:pBdr/>
        <w:spacing w:line="276" w:lineRule="auto"/>
        <w:ind/>
        <w:jc w:val="both"/>
        <w:rPr/>
      </w:pPr>
      <w:r>
        <w:rPr>
          <w:rStyle w:val="1_866"/>
          <w:rFonts w:cs="Tahoma"/>
        </w:rPr>
        <w:t xml:space="preserve">2. Organizacja pozarządowa lub inny podmiot może złożyć wniosek dotyczący realizacji zadania publicznego w trybie tzw. ,,małej dotacji” z własnej inicjatywy.</w:t>
      </w:r>
      <w:r/>
      <w:r/>
    </w:p>
    <w:p>
      <w:pPr>
        <w:pStyle w:val="1_865"/>
        <w:pBdr/>
        <w:spacing w:after="0" w:line="276" w:lineRule="auto"/>
        <w:ind w:right="2" w:firstLine="0" w:left="0"/>
        <w:rPr/>
      </w:pPr>
      <w:r>
        <w:t xml:space="preserve">3.</w:t>
      </w:r>
      <w:r>
        <w:t xml:space="preserve"> W terminie nie dłuższym niż 7 dni roboczych od dnia wpłynięcia oferty, zamieszcza się ją na okres 7 dni na urzędowej tablicy ogłoszeń, w Biuletynie Informacji Publicznej w zakładce: Ogłoszenia – Organizacje pozarządowe oraz na stronie internetowej urzędu.</w:t>
      </w:r>
      <w:r/>
      <w:r/>
    </w:p>
    <w:p>
      <w:pPr>
        <w:pStyle w:val="1_865"/>
        <w:pBdr/>
        <w:spacing w:after="0" w:line="276" w:lineRule="auto"/>
        <w:ind w:right="2" w:firstLine="0" w:left="0"/>
        <w:rPr/>
      </w:pPr>
      <w:r>
        <w:t xml:space="preserve">4. Każdy może zgłosić uwagi dotyczące oferty w terminie 7 dni od dnia zamieszczenia oferty</w:t>
        <w:br/>
        <w:t xml:space="preserve">w sposób, o którym mowa w ust. 3.</w:t>
      </w:r>
      <w:r/>
      <w:r/>
    </w:p>
    <w:p>
      <w:pPr>
        <w:pStyle w:val="1_865"/>
        <w:pBdr/>
        <w:spacing w:after="0" w:line="276" w:lineRule="auto"/>
        <w:ind w:right="2" w:firstLine="0" w:left="0"/>
        <w:rPr/>
      </w:pPr>
      <w:r>
        <w:t xml:space="preserve">5. Burmistrz Miasta Pionki uznaje celowość realizacji zadania lub jej brak.</w:t>
      </w:r>
      <w:r/>
      <w:r/>
    </w:p>
    <w:p>
      <w:pPr>
        <w:pStyle w:val="1_865"/>
        <w:pBdr/>
        <w:spacing w:after="0" w:line="276" w:lineRule="auto"/>
        <w:ind w:right="2" w:firstLine="0" w:left="0"/>
        <w:rPr/>
      </w:pPr>
      <w:r>
        <w:t xml:space="preserve">6. Po upływie terminu, o którym jest mowa w ust. 3 i ust. 4, po rozpatrzeniu uwag, następuje niezwłocznie podpisanie umowy o wsparcie lub powierzenie realizacji zadania publicznego.</w:t>
      </w:r>
      <w:r/>
      <w:r/>
    </w:p>
    <w:p>
      <w:pPr>
        <w:pStyle w:val="1_867"/>
        <w:pBdr/>
        <w:spacing w:line="276" w:lineRule="auto"/>
        <w:ind/>
        <w:jc w:val="both"/>
        <w:rPr/>
      </w:pPr>
      <w:r>
        <w:rPr>
          <w:rStyle w:val="1_866"/>
          <w:rFonts w:cs="Tahoma"/>
        </w:rPr>
        <w:t xml:space="preserve">7. Na realizację zadań publicznych o charakterze lokalnym zlecanych przez gminę organizacjom pozarządowym i innym podmiotom w trybie tzw. ,,małych dotacji” planuje się w 2025 roku </w:t>
      </w:r>
      <w:r>
        <w:rPr>
          <w:rStyle w:val="1_866"/>
          <w:rFonts w:cs="Tahoma"/>
          <w:b/>
          <w:bCs/>
        </w:rPr>
        <w:t xml:space="preserve">około  8.400,00 zł.</w:t>
      </w:r>
      <w:r/>
      <w:r/>
    </w:p>
    <w:p>
      <w:pPr>
        <w:pStyle w:val="1_867"/>
        <w:pBdr/>
        <w:spacing w:line="276" w:lineRule="auto"/>
        <w:ind/>
        <w:jc w:val="both"/>
        <w:rPr>
          <w:rFonts w:cs="Tahoma"/>
          <w:b/>
          <w:bCs/>
          <w:color w:val="ff0000"/>
        </w:rPr>
      </w:pPr>
      <w:r>
        <w:rPr>
          <w:rFonts w:cs="Tahoma"/>
          <w:b/>
          <w:bCs/>
          <w:color w:val="ff0000"/>
        </w:rPr>
      </w:r>
      <w:r>
        <w:rPr>
          <w:rFonts w:cs="Tahoma"/>
          <w:b/>
          <w:bCs/>
          <w:color w:val="ff0000"/>
        </w:rPr>
      </w:r>
      <w:r>
        <w:rPr>
          <w:rFonts w:cs="Tahoma"/>
          <w:b/>
          <w:bCs/>
          <w:color w:val="ff0000"/>
        </w:rPr>
      </w:r>
    </w:p>
    <w:p>
      <w:pPr>
        <w:pStyle w:val="1_867"/>
        <w:pBdr/>
        <w:spacing w:line="276" w:lineRule="auto"/>
        <w:ind/>
        <w:jc w:val="both"/>
        <w:rPr/>
      </w:pPr>
      <w:r>
        <w:rPr>
          <w:rStyle w:val="1_866"/>
          <w:rFonts w:cs="Tahoma"/>
          <w:b/>
          <w:bCs/>
          <w:sz w:val="26"/>
          <w:szCs w:val="26"/>
        </w:rPr>
        <w:t xml:space="preserve">Rozdział V. Zasady i tryb organizacji otwartego konkursu ofert</w:t>
      </w:r>
      <w:r/>
      <w:r/>
    </w:p>
    <w:p>
      <w:pPr>
        <w:pStyle w:val="1_867"/>
        <w:pBdr/>
        <w:spacing w:line="276" w:lineRule="auto"/>
        <w:ind/>
        <w:jc w:val="both"/>
        <w:rPr>
          <w:rFonts w:cs="Tahoma"/>
          <w:b/>
          <w:bCs/>
          <w:sz w:val="26"/>
          <w:szCs w:val="26"/>
        </w:rPr>
      </w:pPr>
      <w:r>
        <w:rPr>
          <w:rFonts w:cs="Tahoma"/>
          <w:b/>
          <w:bCs/>
          <w:sz w:val="26"/>
          <w:szCs w:val="26"/>
        </w:rPr>
      </w:r>
      <w:r>
        <w:rPr>
          <w:rFonts w:cs="Tahoma"/>
          <w:b/>
          <w:bCs/>
          <w:sz w:val="26"/>
          <w:szCs w:val="26"/>
        </w:rPr>
      </w:r>
      <w:r>
        <w:rPr>
          <w:rFonts w:cs="Tahoma"/>
          <w:b/>
          <w:bCs/>
          <w:sz w:val="26"/>
          <w:szCs w:val="26"/>
        </w:rPr>
      </w:r>
    </w:p>
    <w:p>
      <w:pPr>
        <w:pStyle w:val="1_867"/>
        <w:pBdr/>
        <w:spacing w:line="276" w:lineRule="auto"/>
        <w:ind/>
        <w:jc w:val="both"/>
        <w:rPr/>
      </w:pPr>
      <w:r>
        <w:rPr>
          <w:rStyle w:val="1_866"/>
          <w:rFonts w:cs="Times New Roman"/>
          <w:b/>
          <w:bCs/>
        </w:rPr>
        <w:t xml:space="preserve">§</w:t>
      </w:r>
      <w:r>
        <w:rPr>
          <w:rStyle w:val="1_866"/>
          <w:rFonts w:cs="Tahoma"/>
          <w:b/>
          <w:bCs/>
        </w:rPr>
        <w:t xml:space="preserve"> 10.</w:t>
      </w:r>
      <w:r>
        <w:rPr>
          <w:rStyle w:val="1_866"/>
          <w:rFonts w:cs="Tahoma"/>
        </w:rPr>
        <w:t xml:space="preserve">1. Wsparcie i powierzenie realizacji zadań publicznych może odbywać się w drodze otwartych konkursów ofert.</w:t>
      </w:r>
      <w:r/>
      <w:r/>
    </w:p>
    <w:p>
      <w:pPr>
        <w:pStyle w:val="1_867"/>
        <w:pBdr/>
        <w:spacing w:line="276" w:lineRule="auto"/>
        <w:ind/>
        <w:jc w:val="both"/>
        <w:rPr/>
      </w:pPr>
      <w:r>
        <w:rPr>
          <w:rStyle w:val="1_866"/>
          <w:rFonts w:cs="Tahoma"/>
        </w:rPr>
        <w:t xml:space="preserve">2. Ogłoszenie o konkursie zamieszcza się w Biuletynie Informacji Publicznej,</w:t>
      </w:r>
      <w:r>
        <w:t xml:space="preserve"> w zakładce: Ogłoszenia – Organizacje pozarządowe oraz na stronie internetowej urzędu</w:t>
      </w:r>
      <w:r>
        <w:rPr>
          <w:rStyle w:val="1_866"/>
          <w:rFonts w:cs="Tahoma"/>
        </w:rPr>
        <w:t xml:space="preserve"> oraz na tablicy informacyjnej urzędu, w terminie nie krótszym niż 21 dni od dnia wyznaczonego do składania ofert.</w:t>
      </w:r>
      <w:r/>
      <w:r/>
    </w:p>
    <w:p>
      <w:pPr>
        <w:pStyle w:val="1_867"/>
        <w:pBdr/>
        <w:spacing w:line="276" w:lineRule="auto"/>
        <w:ind/>
        <w:jc w:val="both"/>
        <w:rPr>
          <w:rFonts w:cs="Tahoma"/>
        </w:rPr>
      </w:pPr>
      <w:r>
        <w:rPr>
          <w:rFonts w:cs="Tahoma"/>
        </w:rPr>
        <w:t xml:space="preserve">3. Warunkiem przystąpienia do konkursu jest złożenie oferty zgodnej ze wzorem określonym                w stosownych przepisach wynikających z ustawy o pożytku publicznym i o wolontariacie.</w:t>
      </w:r>
      <w:r>
        <w:rPr>
          <w:rFonts w:cs="Tahoma"/>
        </w:rPr>
      </w:r>
      <w:r>
        <w:rPr>
          <w:rFonts w:cs="Tahoma"/>
        </w:rPr>
      </w:r>
    </w:p>
    <w:p>
      <w:pPr>
        <w:pStyle w:val="1_867"/>
        <w:pBdr/>
        <w:spacing w:line="276" w:lineRule="auto"/>
        <w:ind/>
        <w:jc w:val="both"/>
        <w:rPr>
          <w:rFonts w:cs="Tahoma"/>
        </w:rPr>
      </w:pPr>
      <w:r>
        <w:rPr>
          <w:rFonts w:cs="Tahoma"/>
        </w:rPr>
        <w:t xml:space="preserve">4. Ofertę należy przygotować wg. zasad określonych Regulaminem Konkursu, zatwierdzonym</w:t>
        <w:br/>
        <w:t xml:space="preserve">przez Burmistrza Miasta Pionki.</w:t>
      </w:r>
      <w:r>
        <w:rPr>
          <w:rFonts w:cs="Tahoma"/>
        </w:rPr>
      </w:r>
      <w:r>
        <w:rPr>
          <w:rFonts w:cs="Tahoma"/>
        </w:rPr>
      </w:r>
    </w:p>
    <w:p>
      <w:pPr>
        <w:pStyle w:val="1_867"/>
        <w:pBdr/>
        <w:spacing w:line="276" w:lineRule="auto"/>
        <w:ind/>
        <w:jc w:val="both"/>
        <w:rPr>
          <w:rFonts w:cs="Tahoma"/>
        </w:rPr>
      </w:pPr>
      <w:r>
        <w:rPr>
          <w:rFonts w:cs="Tahoma"/>
        </w:rPr>
        <w:t xml:space="preserve">5. Do oferty należy dołączyć dokumenty lub załączniki wymagane w ogłoszeniu konkursowym.</w:t>
      </w:r>
      <w:r>
        <w:rPr>
          <w:rFonts w:cs="Tahoma"/>
        </w:rPr>
      </w:r>
      <w:r>
        <w:rPr>
          <w:rFonts w:cs="Tahoma"/>
        </w:rPr>
      </w:r>
    </w:p>
    <w:p>
      <w:pPr>
        <w:pStyle w:val="1_867"/>
        <w:pBdr/>
        <w:spacing w:line="276" w:lineRule="auto"/>
        <w:ind/>
        <w:jc w:val="both"/>
        <w:rPr/>
      </w:pPr>
      <w:r>
        <w:rPr>
          <w:rStyle w:val="1_866"/>
          <w:rFonts w:cs="Tahoma"/>
        </w:rPr>
        <w:t xml:space="preserve">6. Udzielone </w:t>
      </w:r>
      <w:r>
        <w:rPr>
          <w:rStyle w:val="1_866"/>
          <w:rFonts w:cs="Tahoma"/>
          <w:b/>
          <w:bCs/>
        </w:rPr>
        <w:t xml:space="preserve">dotacje nie mogą być przekazywane na</w:t>
      </w:r>
      <w:r>
        <w:rPr>
          <w:rStyle w:val="1_866"/>
          <w:rFonts w:cs="Tahoma"/>
        </w:rPr>
        <w:t xml:space="preserve">:</w:t>
      </w:r>
      <w:r/>
      <w:r/>
    </w:p>
    <w:p>
      <w:pPr>
        <w:pStyle w:val="1_867"/>
        <w:pBdr/>
        <w:spacing w:line="276" w:lineRule="auto"/>
        <w:ind/>
        <w:jc w:val="both"/>
        <w:rPr>
          <w:rFonts w:cs="Tahoma"/>
        </w:rPr>
      </w:pPr>
      <w:r>
        <w:rPr>
          <w:rFonts w:cs="Tahoma"/>
        </w:rPr>
      </w:r>
      <w:r>
        <w:rPr>
          <w:rFonts w:cs="Tahoma"/>
        </w:rPr>
      </w:r>
      <w:r>
        <w:rPr>
          <w:rFonts w:cs="Tahoma"/>
        </w:rPr>
      </w:r>
    </w:p>
    <w:p>
      <w:pPr>
        <w:pStyle w:val="1_867"/>
        <w:pBdr/>
        <w:spacing w:line="276" w:lineRule="auto"/>
        <w:ind/>
        <w:jc w:val="both"/>
        <w:rPr>
          <w:rFonts w:cs="Tahoma"/>
        </w:rPr>
      </w:pPr>
      <w:r>
        <w:rPr>
          <w:rFonts w:cs="Tahoma"/>
        </w:rPr>
        <w:tab/>
        <w:t xml:space="preserve">a) zakup gruntów,</w:t>
      </w:r>
      <w:r>
        <w:rPr>
          <w:rFonts w:cs="Tahoma"/>
        </w:rPr>
      </w:r>
      <w:r>
        <w:rPr>
          <w:rFonts w:cs="Tahoma"/>
        </w:rPr>
      </w:r>
    </w:p>
    <w:p>
      <w:pPr>
        <w:pStyle w:val="1_867"/>
        <w:pBdr/>
        <w:spacing w:line="276" w:lineRule="auto"/>
        <w:ind/>
        <w:jc w:val="both"/>
        <w:rPr>
          <w:rFonts w:cs="Tahoma"/>
        </w:rPr>
      </w:pPr>
      <w:r>
        <w:rPr>
          <w:rFonts w:cs="Tahoma"/>
        </w:rPr>
        <w:tab/>
        <w:t xml:space="preserve">b) działalność gospodarczą,</w:t>
      </w:r>
      <w:r>
        <w:rPr>
          <w:rFonts w:cs="Tahoma"/>
        </w:rPr>
      </w:r>
      <w:r>
        <w:rPr>
          <w:rFonts w:cs="Tahoma"/>
        </w:rPr>
      </w:r>
    </w:p>
    <w:p>
      <w:pPr>
        <w:pStyle w:val="1_867"/>
        <w:pBdr/>
        <w:spacing w:line="276" w:lineRule="auto"/>
        <w:ind/>
        <w:jc w:val="both"/>
        <w:rPr/>
      </w:pPr>
      <w:r>
        <w:rPr>
          <w:rStyle w:val="1_866"/>
          <w:rFonts w:cs="Tahoma"/>
        </w:rPr>
        <w:tab/>
        <w:t xml:space="preserve">c) działalność polityczną,</w:t>
      </w:r>
      <w:r/>
      <w:r/>
    </w:p>
    <w:p>
      <w:pPr>
        <w:pStyle w:val="1_867"/>
        <w:pBdr/>
        <w:spacing w:line="276" w:lineRule="auto"/>
        <w:ind/>
        <w:jc w:val="both"/>
        <w:rPr/>
      </w:pPr>
      <w:r>
        <w:rPr>
          <w:rStyle w:val="1_866"/>
          <w:rFonts w:cs="Tahoma"/>
        </w:rPr>
        <w:tab/>
        <w:t xml:space="preserve">d) pokrycie zobowiązań finansowych powstałych przed datą zawarcia umowy,</w:t>
      </w:r>
      <w:r/>
      <w:r/>
    </w:p>
    <w:p>
      <w:pPr>
        <w:pStyle w:val="1_867"/>
        <w:pBdr/>
        <w:spacing w:line="276" w:lineRule="auto"/>
        <w:ind/>
        <w:jc w:val="both"/>
        <w:rPr/>
      </w:pPr>
      <w:r>
        <w:rPr>
          <w:rStyle w:val="1_866"/>
          <w:rFonts w:cs="Tahoma"/>
        </w:rPr>
        <w:tab/>
        <w:t xml:space="preserve">e) realizację inwestycji, z wyłączeniem inwestycji związanych z bezpośrednia realizacją </w:t>
      </w:r>
      <w:r>
        <w:rPr>
          <w:rStyle w:val="1_866"/>
          <w:rFonts w:cs="Tahoma"/>
        </w:rPr>
        <w:tab/>
        <w:t xml:space="preserve">zadań publicznych, na które dotacja została przyznana,</w:t>
      </w:r>
      <w:r/>
      <w:r/>
    </w:p>
    <w:p>
      <w:pPr>
        <w:pStyle w:val="1_867"/>
        <w:pBdr/>
        <w:spacing w:line="276" w:lineRule="auto"/>
        <w:ind/>
        <w:jc w:val="both"/>
        <w:rPr/>
      </w:pPr>
      <w:r>
        <w:rPr>
          <w:rStyle w:val="1_866"/>
          <w:rFonts w:cs="Tahoma"/>
        </w:rPr>
        <w:tab/>
        <w:t xml:space="preserve">f) pokrycie kosztów utrzymania biura, z wyłączeniem bezpośrednich kosztów związanych       </w:t>
      </w:r>
      <w:r>
        <w:rPr>
          <w:rStyle w:val="1_866"/>
          <w:rFonts w:cs="Tahoma"/>
        </w:rPr>
        <w:tab/>
        <w:t xml:space="preserve">z realizacją zadania publicznego, na które dotacja została przyznana.  </w:t>
      </w:r>
      <w:r/>
      <w:r/>
    </w:p>
    <w:p>
      <w:pPr>
        <w:pStyle w:val="1_867"/>
        <w:pBdr/>
        <w:spacing w:line="276" w:lineRule="auto"/>
        <w:ind/>
        <w:jc w:val="both"/>
        <w:rPr>
          <w:rFonts w:cs="Times New Roman"/>
          <w:b/>
          <w:bCs/>
        </w:rPr>
      </w:pPr>
      <w:r>
        <w:rPr>
          <w:rFonts w:cs="Times New Roman"/>
          <w:b/>
          <w:bCs/>
        </w:rPr>
      </w:r>
      <w:r>
        <w:rPr>
          <w:rFonts w:cs="Times New Roman"/>
          <w:b/>
          <w:bCs/>
        </w:rPr>
      </w:r>
      <w:r>
        <w:rPr>
          <w:rFonts w:cs="Times New Roman"/>
          <w:b/>
          <w:bCs/>
        </w:rPr>
      </w:r>
    </w:p>
    <w:p>
      <w:pPr>
        <w:pStyle w:val="1_867"/>
        <w:pBdr/>
        <w:spacing w:line="276" w:lineRule="auto"/>
        <w:ind/>
        <w:jc w:val="both"/>
        <w:rPr>
          <w:rFonts w:cs="Times New Roman"/>
          <w:b/>
          <w:bCs/>
        </w:rPr>
      </w:pPr>
      <w:r>
        <w:rPr>
          <w:rFonts w:cs="Times New Roman"/>
          <w:b/>
          <w:bCs/>
        </w:rPr>
      </w:r>
      <w:r>
        <w:rPr>
          <w:rFonts w:cs="Times New Roman"/>
          <w:b/>
          <w:bCs/>
        </w:rPr>
      </w:r>
      <w:r>
        <w:rPr>
          <w:rFonts w:cs="Times New Roman"/>
          <w:b/>
          <w:bCs/>
        </w:rPr>
      </w:r>
    </w:p>
    <w:p>
      <w:pPr>
        <w:pStyle w:val="1_867"/>
        <w:pBdr/>
        <w:spacing w:line="276" w:lineRule="auto"/>
        <w:ind/>
        <w:jc w:val="both"/>
        <w:rPr/>
      </w:pPr>
      <w:r>
        <w:rPr>
          <w:rStyle w:val="1_866"/>
          <w:rFonts w:cs="Times New Roman"/>
          <w:b/>
          <w:bCs/>
        </w:rPr>
        <w:t xml:space="preserve">§</w:t>
      </w:r>
      <w:r>
        <w:rPr>
          <w:rStyle w:val="1_866"/>
          <w:rFonts w:cs="Tahoma"/>
          <w:b/>
          <w:bCs/>
        </w:rPr>
        <w:t xml:space="preserve"> 11.</w:t>
      </w:r>
      <w:r>
        <w:rPr>
          <w:rStyle w:val="1_866"/>
          <w:rFonts w:cs="Tahoma"/>
        </w:rPr>
        <w:t xml:space="preserve">1.Oferty złożone w ramach </w:t>
      </w:r>
      <w:r>
        <w:rPr>
          <w:rStyle w:val="1_866"/>
          <w:rFonts w:cs="Tahoma"/>
        </w:rPr>
        <w:t xml:space="preserve">otwartych konkursów ofert podlegają procedurze uzupełniania</w:t>
      </w:r>
      <w:r>
        <w:t xml:space="preserve"> </w:t>
      </w:r>
      <w:r>
        <w:rPr>
          <w:rStyle w:val="1_866"/>
          <w:rFonts w:cs="Tahoma"/>
        </w:rPr>
        <w:t xml:space="preserve">drobnych braków formalnych, np. takich jak:</w:t>
      </w:r>
      <w:r/>
      <w:r/>
    </w:p>
    <w:p>
      <w:pPr>
        <w:pStyle w:val="1_867"/>
        <w:pBdr/>
        <w:spacing w:line="276" w:lineRule="auto"/>
        <w:ind/>
        <w:jc w:val="both"/>
        <w:rPr/>
      </w:pPr>
      <w:r>
        <w:rPr>
          <w:rStyle w:val="1_866"/>
          <w:rFonts w:cs="Tahoma"/>
        </w:rPr>
        <w:tab/>
        <w:t xml:space="preserve">a) uzupełnienie brakujących podpisów pod wnioskiem, w przypadku niezgodności podpisów </w:t>
      </w:r>
      <w:r>
        <w:rPr>
          <w:rStyle w:val="1_866"/>
          <w:rFonts w:cs="Tahoma"/>
        </w:rPr>
        <w:tab/>
        <w:t xml:space="preserve">ze sposobem reprezentacji organizacji określonym w statucie;</w:t>
      </w:r>
      <w:r/>
      <w:r/>
    </w:p>
    <w:p>
      <w:pPr>
        <w:pStyle w:val="1_867"/>
        <w:pBdr/>
        <w:spacing w:line="276" w:lineRule="auto"/>
        <w:ind/>
        <w:jc w:val="both"/>
        <w:rPr/>
      </w:pPr>
      <w:r>
        <w:rPr>
          <w:rStyle w:val="1_866"/>
          <w:rFonts w:cs="Tahoma"/>
        </w:rPr>
        <w:tab/>
        <w:t xml:space="preserve">b) brak właściwych podpisów pod załącznikami;</w:t>
      </w:r>
      <w:r/>
      <w:r/>
    </w:p>
    <w:p>
      <w:pPr>
        <w:pStyle w:val="1_867"/>
        <w:pBdr/>
        <w:spacing w:line="276" w:lineRule="auto"/>
        <w:ind/>
        <w:jc w:val="both"/>
        <w:rPr/>
      </w:pPr>
      <w:r>
        <w:rPr>
          <w:rStyle w:val="1_866"/>
          <w:rFonts w:cs="Tahoma"/>
        </w:rPr>
        <w:tab/>
        <w:t xml:space="preserve">c) brak poświadczenia załączonych kopii dokumentów: za zgodność z oryginałem.</w:t>
      </w:r>
      <w:r/>
      <w:r/>
    </w:p>
    <w:p>
      <w:pPr>
        <w:pStyle w:val="1_867"/>
        <w:pBdr/>
        <w:spacing w:line="276" w:lineRule="auto"/>
        <w:ind/>
        <w:jc w:val="both"/>
        <w:rPr>
          <w:rFonts w:cs="Tahoma"/>
        </w:rPr>
      </w:pPr>
      <w:r>
        <w:rPr>
          <w:rFonts w:cs="Tahoma"/>
        </w:rPr>
        <w:t xml:space="preserve">2. Konkurs odbywa się dwuetapowo:</w:t>
      </w:r>
      <w:r>
        <w:rPr>
          <w:rFonts w:cs="Tahoma"/>
        </w:rPr>
      </w:r>
      <w:r>
        <w:rPr>
          <w:rFonts w:cs="Tahoma"/>
        </w:rPr>
      </w:r>
    </w:p>
    <w:p>
      <w:pPr>
        <w:pStyle w:val="1_867"/>
        <w:pBdr/>
        <w:spacing w:line="276" w:lineRule="auto"/>
        <w:ind w:right="0" w:firstLine="0" w:left="720"/>
        <w:jc w:val="both"/>
        <w:rPr/>
      </w:pPr>
      <w:r>
        <w:rPr>
          <w:rStyle w:val="1_866"/>
          <w:rFonts w:cs="Tahoma"/>
        </w:rPr>
        <w:t xml:space="preserve">a) I etap – wstępna ocena oferty pod względem formalnym, dokonywana przez komórkę merytoryczną, odpowiedzialną za wspó</w:t>
      </w:r>
      <w:r>
        <w:rPr>
          <w:rStyle w:val="1_866"/>
          <w:rFonts w:cs="Tahoma"/>
        </w:rPr>
        <w:t xml:space="preserve">łpracę z organizacjami pozarządowymi i innymi podmiotami. W przypadku stwierdzenia wymienionych powyżej braków formalnych, wnioskodawca zostaje powiadomiony o tym fakcie telefonicznie i w ciągu  3 dni od daty powiadomienia, ma prawo do uzupełnienia braków;</w:t>
      </w:r>
      <w:r/>
      <w:r/>
    </w:p>
    <w:p>
      <w:pPr>
        <w:pStyle w:val="1_867"/>
        <w:pBdr/>
        <w:spacing w:line="276" w:lineRule="auto"/>
        <w:ind w:right="0" w:firstLine="0" w:left="720"/>
        <w:jc w:val="both"/>
        <w:rPr/>
      </w:pPr>
      <w:r>
        <w:rPr>
          <w:rStyle w:val="1_866"/>
          <w:rFonts w:cs="Tahoma"/>
        </w:rPr>
        <w:t xml:space="preserve">b) II etap – ostateczna ocena formalna oraz ocena merytoryczna, zostaje dokonana</w:t>
      </w:r>
      <w:r>
        <w:rPr>
          <w:rStyle w:val="1_866"/>
          <w:rFonts w:cs="Tahoma"/>
        </w:rPr>
        <w:br/>
      </w:r>
      <w:r>
        <w:rPr>
          <w:rStyle w:val="1_866"/>
          <w:rFonts w:cs="Tahoma"/>
        </w:rPr>
        <w:t xml:space="preserve">przez komisję konkursową.</w:t>
      </w:r>
      <w:r/>
      <w:r/>
    </w:p>
    <w:p>
      <w:pPr>
        <w:pStyle w:val="1_867"/>
        <w:pBdr/>
        <w:spacing w:line="276" w:lineRule="auto"/>
        <w:ind/>
        <w:jc w:val="both"/>
        <w:rPr>
          <w:rFonts w:cs="Tahoma"/>
        </w:rPr>
      </w:pPr>
      <w:r>
        <w:rPr>
          <w:rFonts w:cs="Tahoma"/>
        </w:rPr>
        <w:t xml:space="preserve">3. Przy rozpatrywaniu ofert komisja konkursowa oceni oferty kierując się:  </w:t>
      </w:r>
      <w:r>
        <w:rPr>
          <w:rFonts w:cs="Tahoma"/>
        </w:rPr>
      </w:r>
      <w:r>
        <w:rPr>
          <w:rFonts w:cs="Tahoma"/>
        </w:rPr>
      </w:r>
    </w:p>
    <w:p>
      <w:pPr>
        <w:pStyle w:val="1_867"/>
        <w:pBdr/>
        <w:spacing w:line="276" w:lineRule="auto"/>
        <w:ind/>
        <w:jc w:val="both"/>
        <w:rPr>
          <w:rFonts w:cs="Tahoma"/>
        </w:rPr>
      </w:pPr>
      <w:r>
        <w:rPr>
          <w:rFonts w:cs="Tahoma"/>
        </w:rPr>
        <w:tab/>
        <w:t xml:space="preserve">a) wartością merytoryczną oferty, w tym charakterystyką zadania i opisem potrzeb </w:t>
        <w:tab/>
        <w:t xml:space="preserve">wskazujących na konieczność jego realizacji;</w:t>
      </w:r>
      <w:r>
        <w:rPr>
          <w:rFonts w:cs="Tahoma"/>
        </w:rPr>
      </w:r>
      <w:r>
        <w:rPr>
          <w:rFonts w:cs="Tahoma"/>
        </w:rPr>
      </w:r>
    </w:p>
    <w:p>
      <w:pPr>
        <w:pStyle w:val="1_867"/>
        <w:pBdr/>
        <w:spacing w:line="276" w:lineRule="auto"/>
        <w:ind/>
        <w:jc w:val="both"/>
        <w:rPr>
          <w:rFonts w:cs="Tahoma"/>
        </w:rPr>
      </w:pPr>
      <w:r>
        <w:rPr>
          <w:rFonts w:cs="Tahoma"/>
        </w:rPr>
        <w:tab/>
        <w:t xml:space="preserve">b) zaangażowaniem finansowych środków własnych oferenta oraz możliwością                       </w:t>
        <w:tab/>
        <w:t xml:space="preserve">i wysokością pozyskanych środków finansowych z innych źródeł na realizację tego zadania </w:t>
        <w:tab/>
        <w:t xml:space="preserve">i zasadnością kalkulacji kosztów;</w:t>
      </w:r>
      <w:r>
        <w:rPr>
          <w:rFonts w:cs="Tahoma"/>
        </w:rPr>
      </w:r>
      <w:r>
        <w:rPr>
          <w:rFonts w:cs="Tahoma"/>
        </w:rPr>
      </w:r>
    </w:p>
    <w:p>
      <w:pPr>
        <w:pStyle w:val="1_867"/>
        <w:pBdr/>
        <w:spacing w:line="276" w:lineRule="auto"/>
        <w:ind w:right="0" w:firstLine="0" w:left="720"/>
        <w:jc w:val="both"/>
        <w:rPr>
          <w:rFonts w:cs="Tahoma"/>
        </w:rPr>
      </w:pPr>
      <w:r>
        <w:rPr>
          <w:rFonts w:cs="Tahoma"/>
        </w:rPr>
        <w:t xml:space="preserve">c) liczbą i opisem adresatów – beneficjentów projektu, adekwatną do rodzaju zadań</w:t>
        <w:br/>
        <w:t xml:space="preserve">i planowanych wydatków;</w:t>
      </w:r>
      <w:r>
        <w:rPr>
          <w:rFonts w:cs="Tahoma"/>
        </w:rPr>
      </w:r>
      <w:r>
        <w:rPr>
          <w:rFonts w:cs="Tahoma"/>
        </w:rPr>
      </w:r>
    </w:p>
    <w:p>
      <w:pPr>
        <w:pStyle w:val="1_867"/>
        <w:pBdr/>
        <w:spacing w:line="276" w:lineRule="auto"/>
        <w:ind/>
        <w:jc w:val="both"/>
        <w:rPr>
          <w:rFonts w:cs="Tahoma"/>
        </w:rPr>
      </w:pPr>
      <w:r>
        <w:rPr>
          <w:rFonts w:cs="Tahoma"/>
        </w:rPr>
        <w:tab/>
        <w:t xml:space="preserve">d) dotychczasowym doświadczeniem oferenta w zakresie realizacji zadania będącego </w:t>
        <w:tab/>
        <w:t xml:space="preserve">przedmiotem oferty;</w:t>
      </w:r>
      <w:r>
        <w:rPr>
          <w:rFonts w:cs="Tahoma"/>
        </w:rPr>
      </w:r>
      <w:r>
        <w:rPr>
          <w:rFonts w:cs="Tahoma"/>
        </w:rPr>
      </w:r>
    </w:p>
    <w:p>
      <w:pPr>
        <w:pStyle w:val="1_867"/>
        <w:pBdr/>
        <w:spacing w:line="276" w:lineRule="auto"/>
        <w:ind/>
        <w:jc w:val="both"/>
        <w:rPr>
          <w:rFonts w:cs="Tahoma"/>
        </w:rPr>
      </w:pPr>
      <w:r>
        <w:rPr>
          <w:rFonts w:cs="Tahoma"/>
        </w:rPr>
        <w:tab/>
        <w:t xml:space="preserve">e) zakładanymi celami i rezultatami realizacji zadania;</w:t>
      </w:r>
      <w:r>
        <w:rPr>
          <w:rFonts w:cs="Tahoma"/>
        </w:rPr>
      </w:r>
      <w:r>
        <w:rPr>
          <w:rFonts w:cs="Tahoma"/>
        </w:rPr>
      </w:r>
    </w:p>
    <w:p>
      <w:pPr>
        <w:pStyle w:val="1_867"/>
        <w:pBdr/>
        <w:spacing w:line="276" w:lineRule="auto"/>
        <w:ind w:right="0" w:firstLine="0" w:left="720"/>
        <w:jc w:val="both"/>
        <w:rPr>
          <w:rFonts w:cs="Tahoma"/>
        </w:rPr>
      </w:pPr>
      <w:r>
        <w:rPr>
          <w:rFonts w:cs="Tahoma"/>
        </w:rPr>
        <w:t xml:space="preserve">f) oceną dotychczasowej współpracy z gminą (w tym rzetelność i terminowość rozliczeń dotacji z lat ubiegłych).</w:t>
      </w:r>
      <w:r>
        <w:rPr>
          <w:rFonts w:cs="Tahoma"/>
        </w:rPr>
      </w:r>
      <w:r>
        <w:rPr>
          <w:rFonts w:cs="Tahoma"/>
        </w:rPr>
      </w:r>
    </w:p>
    <w:p>
      <w:pPr>
        <w:pStyle w:val="1_867"/>
        <w:pBdr/>
        <w:spacing w:line="276" w:lineRule="auto"/>
        <w:ind/>
        <w:jc w:val="both"/>
        <w:rPr>
          <w:rFonts w:cs="Tahoma"/>
        </w:rPr>
      </w:pPr>
      <w:r>
        <w:rPr>
          <w:rFonts w:cs="Tahoma"/>
        </w:rPr>
      </w:r>
      <w:r>
        <w:rPr>
          <w:rFonts w:cs="Tahoma"/>
        </w:rPr>
      </w:r>
      <w:r>
        <w:rPr>
          <w:rFonts w:cs="Tahoma"/>
        </w:rPr>
      </w:r>
    </w:p>
    <w:p>
      <w:pPr>
        <w:pStyle w:val="1_867"/>
        <w:pBdr/>
        <w:spacing w:line="276" w:lineRule="auto"/>
        <w:ind/>
        <w:jc w:val="both"/>
        <w:rPr/>
      </w:pPr>
      <w:r>
        <w:rPr>
          <w:rStyle w:val="1_866"/>
          <w:rFonts w:cs="Times New Roman"/>
          <w:b/>
          <w:bCs/>
        </w:rPr>
        <w:t xml:space="preserve">§</w:t>
      </w:r>
      <w:r>
        <w:rPr>
          <w:rStyle w:val="1_866"/>
          <w:rFonts w:cs="Tahoma"/>
          <w:b/>
          <w:bCs/>
        </w:rPr>
        <w:t xml:space="preserve"> 12.</w:t>
      </w:r>
      <w:r>
        <w:rPr>
          <w:rStyle w:val="1_866"/>
          <w:rFonts w:cs="Tahoma"/>
        </w:rPr>
        <w:t xml:space="preserve">1. Konkurs ofert przeprowadza się także w sytuacji, gdy została złożona tylko jedna oferta.</w:t>
      </w:r>
      <w:r/>
      <w:r/>
    </w:p>
    <w:p>
      <w:pPr>
        <w:pStyle w:val="1_867"/>
        <w:pBdr/>
        <w:spacing w:line="276" w:lineRule="auto"/>
        <w:ind/>
        <w:jc w:val="both"/>
        <w:rPr/>
      </w:pPr>
      <w:r>
        <w:rPr>
          <w:rStyle w:val="1_866"/>
          <w:rFonts w:cs="Tahoma"/>
        </w:rPr>
        <w:t xml:space="preserve">2. Informacje o rozstrzygnięciu konkursu wraz z wykazem ofert niespełniających wymogów formalnych, jak również ofert, które nie otrzymały dotacji, podawane są do publicznej wiadomości w sposób określony w </w:t>
      </w:r>
      <w:r>
        <w:rPr>
          <w:rStyle w:val="1_866"/>
          <w:rFonts w:cs="Times New Roman"/>
        </w:rPr>
        <w:t xml:space="preserve">§</w:t>
      </w:r>
      <w:r>
        <w:rPr>
          <w:rStyle w:val="1_866"/>
          <w:rFonts w:cs="Tahoma"/>
        </w:rPr>
        <w:t xml:space="preserve"> 10  ust. 2 niniejszego programu.</w:t>
      </w:r>
      <w:r/>
      <w:r/>
    </w:p>
    <w:p>
      <w:pPr>
        <w:pStyle w:val="1_867"/>
        <w:pBdr/>
        <w:spacing w:line="276" w:lineRule="auto"/>
        <w:ind/>
        <w:jc w:val="both"/>
        <w:rPr>
          <w:rFonts w:cs="Tahoma"/>
        </w:rPr>
      </w:pPr>
      <w:r>
        <w:rPr>
          <w:rFonts w:cs="Tahoma"/>
        </w:rPr>
        <w:t xml:space="preserve">3. Każdy z oferentów może żądać uzasadnienia wyboru lub odrzucenia oferty.</w:t>
      </w:r>
      <w:r>
        <w:rPr>
          <w:rFonts w:cs="Tahoma"/>
        </w:rPr>
      </w:r>
      <w:r>
        <w:rPr>
          <w:rFonts w:cs="Tahoma"/>
        </w:rPr>
      </w:r>
    </w:p>
    <w:p>
      <w:pPr>
        <w:pStyle w:val="1_867"/>
        <w:pBdr/>
        <w:spacing w:line="276" w:lineRule="auto"/>
        <w:ind/>
        <w:jc w:val="both"/>
        <w:rPr>
          <w:rFonts w:cs="Tahoma"/>
        </w:rPr>
      </w:pPr>
      <w:r>
        <w:rPr>
          <w:rFonts w:cs="Tahoma"/>
        </w:rPr>
        <w:t xml:space="preserve">4. Z oferentem, który wygrał konkurs, sporządzana jest pisemna umowa na powierzenie lub wsparcie realizacji zadania publicznego.</w:t>
      </w:r>
      <w:r>
        <w:rPr>
          <w:rFonts w:cs="Tahoma"/>
        </w:rPr>
      </w:r>
      <w:r>
        <w:rPr>
          <w:rFonts w:cs="Tahoma"/>
        </w:rPr>
      </w:r>
    </w:p>
    <w:p>
      <w:pPr>
        <w:pStyle w:val="1_867"/>
        <w:pBdr/>
        <w:spacing w:line="276" w:lineRule="auto"/>
        <w:ind/>
        <w:jc w:val="both"/>
        <w:rPr>
          <w:rFonts w:cs="Tahoma"/>
        </w:rPr>
      </w:pPr>
      <w:r>
        <w:rPr>
          <w:rFonts w:cs="Tahoma"/>
        </w:rPr>
        <w:t xml:space="preserve">5. Umowa jest sporządzana na podstawie wzoru określonego w stosownych przepisach wynikających z ustawy o pożytku publicznym i o wolontariacie oraz ustawy o finansach publicznych.</w:t>
      </w:r>
      <w:r>
        <w:rPr>
          <w:rFonts w:cs="Tahoma"/>
        </w:rPr>
      </w:r>
      <w:r>
        <w:rPr>
          <w:rFonts w:cs="Tahoma"/>
        </w:rPr>
      </w:r>
    </w:p>
    <w:p>
      <w:pPr>
        <w:pStyle w:val="1_867"/>
        <w:pBdr/>
        <w:spacing w:line="276" w:lineRule="auto"/>
        <w:ind/>
        <w:jc w:val="both"/>
        <w:rPr>
          <w:rFonts w:cs="Tahoma"/>
        </w:rPr>
      </w:pPr>
      <w:r>
        <w:rPr>
          <w:rFonts w:cs="Tahoma"/>
        </w:rPr>
      </w:r>
      <w:r>
        <w:rPr>
          <w:rFonts w:cs="Tahoma"/>
        </w:rPr>
      </w:r>
      <w:r>
        <w:rPr>
          <w:rFonts w:cs="Tahoma"/>
        </w:rPr>
      </w:r>
    </w:p>
    <w:p>
      <w:pPr>
        <w:pStyle w:val="1_867"/>
        <w:pBdr/>
        <w:spacing w:line="276" w:lineRule="auto"/>
        <w:ind/>
        <w:jc w:val="both"/>
        <w:rPr>
          <w:rFonts w:cs="Tahoma"/>
          <w:b/>
          <w:bCs/>
          <w:sz w:val="26"/>
          <w:szCs w:val="26"/>
        </w:rPr>
      </w:pPr>
      <w:r>
        <w:rPr>
          <w:rFonts w:cs="Tahoma"/>
          <w:b/>
          <w:bCs/>
          <w:sz w:val="26"/>
          <w:szCs w:val="26"/>
        </w:rPr>
        <w:t xml:space="preserve">Rozdział VI. Tryb powoływania i regulamin pracy komisji konkursowych</w:t>
      </w:r>
      <w:r>
        <w:rPr>
          <w:rFonts w:cs="Tahoma"/>
          <w:b/>
          <w:bCs/>
          <w:sz w:val="26"/>
          <w:szCs w:val="26"/>
        </w:rPr>
      </w:r>
      <w:r>
        <w:rPr>
          <w:rFonts w:cs="Tahoma"/>
          <w:b/>
          <w:bCs/>
          <w:sz w:val="26"/>
          <w:szCs w:val="26"/>
        </w:rPr>
      </w:r>
    </w:p>
    <w:p>
      <w:pPr>
        <w:pStyle w:val="1_867"/>
        <w:pBdr/>
        <w:spacing w:line="276" w:lineRule="auto"/>
        <w:ind/>
        <w:jc w:val="both"/>
        <w:rPr>
          <w:rFonts w:cs="Tahoma"/>
          <w:b/>
          <w:bCs/>
        </w:rPr>
      </w:pPr>
      <w:r>
        <w:rPr>
          <w:rFonts w:cs="Tahoma"/>
          <w:b/>
          <w:bCs/>
        </w:rPr>
      </w:r>
      <w:r>
        <w:rPr>
          <w:rFonts w:cs="Tahoma"/>
          <w:b/>
          <w:bCs/>
        </w:rPr>
      </w:r>
      <w:r>
        <w:rPr>
          <w:rFonts w:cs="Tahoma"/>
          <w:b/>
          <w:bCs/>
        </w:rPr>
      </w:r>
    </w:p>
    <w:p>
      <w:pPr>
        <w:pStyle w:val="1_867"/>
        <w:pBdr/>
        <w:spacing w:line="276" w:lineRule="auto"/>
        <w:ind/>
        <w:jc w:val="both"/>
        <w:rPr/>
      </w:pPr>
      <w:r>
        <w:rPr>
          <w:rStyle w:val="1_866"/>
          <w:rFonts w:cs="Times New Roman"/>
          <w:b/>
          <w:bCs/>
        </w:rPr>
        <w:t xml:space="preserve">§ 13.</w:t>
      </w:r>
      <w:r>
        <w:rPr>
          <w:rStyle w:val="1_866"/>
          <w:rFonts w:cs="Tahoma"/>
          <w:b/>
          <w:bCs/>
        </w:rPr>
        <w:t xml:space="preserve"> </w:t>
      </w:r>
      <w:r>
        <w:rPr>
          <w:rStyle w:val="1_866"/>
          <w:rFonts w:cs="Tahoma"/>
        </w:rPr>
        <w:t xml:space="preserve">1. Komisje konkursowe powoływane są przez Burmistrza Miasta Pionki, celem opiniowania ofert złożonych przez organizacje pozarządowe i inne podmioty w ramach otwartych konkursów.</w:t>
      </w:r>
      <w:r/>
      <w:r/>
    </w:p>
    <w:p>
      <w:pPr>
        <w:pStyle w:val="1_867"/>
        <w:pBdr/>
        <w:spacing w:line="276" w:lineRule="auto"/>
        <w:ind/>
        <w:jc w:val="both"/>
        <w:rPr>
          <w:rFonts w:cs="Tahoma"/>
        </w:rPr>
      </w:pPr>
      <w:r>
        <w:rPr>
          <w:rFonts w:cs="Tahoma"/>
        </w:rPr>
        <w:t xml:space="preserve">2. Do każdego konkursu powoływana jest odrębna komisja konkursowa.</w:t>
      </w:r>
      <w:r>
        <w:rPr>
          <w:rFonts w:cs="Tahoma"/>
        </w:rPr>
      </w:r>
      <w:r>
        <w:rPr>
          <w:rFonts w:cs="Tahoma"/>
        </w:rPr>
      </w:r>
    </w:p>
    <w:p>
      <w:pPr>
        <w:pStyle w:val="1_867"/>
        <w:pBdr/>
        <w:spacing w:line="276" w:lineRule="auto"/>
        <w:ind/>
        <w:jc w:val="both"/>
        <w:rPr>
          <w:rFonts w:cs="Tahoma"/>
        </w:rPr>
      </w:pPr>
      <w:r>
        <w:rPr>
          <w:rFonts w:cs="Tahoma"/>
        </w:rPr>
        <w:t xml:space="preserve">3. Komisja konkursowa powoływana jest w składzie 3 osób:</w:t>
      </w:r>
      <w:r>
        <w:rPr>
          <w:rFonts w:cs="Tahoma"/>
        </w:rPr>
      </w:r>
      <w:r>
        <w:rPr>
          <w:rFonts w:cs="Tahoma"/>
        </w:rPr>
      </w:r>
    </w:p>
    <w:p>
      <w:pPr>
        <w:pStyle w:val="1_867"/>
        <w:numPr>
          <w:ilvl w:val="0"/>
          <w:numId w:val="10"/>
        </w:numPr>
        <w:pBdr/>
        <w:spacing w:line="276" w:lineRule="auto"/>
        <w:ind/>
        <w:jc w:val="both"/>
        <w:rPr>
          <w:rFonts w:cs="Tahoma"/>
        </w:rPr>
      </w:pPr>
      <w:r>
        <w:rPr>
          <w:rFonts w:cs="Tahoma"/>
        </w:rPr>
        <w:t xml:space="preserve">2 przedstawicieli urzędu (urzędnik merytorycznie odpowiedzialny za współpracę</w:t>
        <w:br/>
        <w:t xml:space="preserve">z organizacjami pozarządowymi oraz urzędnik wyznaczony do pracy w komisji konkursowej przez Burmistrza Miasta Pionki;</w:t>
      </w:r>
      <w:r>
        <w:rPr>
          <w:rFonts w:cs="Tahoma"/>
        </w:rPr>
      </w:r>
      <w:r>
        <w:rPr>
          <w:rFonts w:cs="Tahoma"/>
        </w:rPr>
      </w:r>
    </w:p>
    <w:p>
      <w:pPr>
        <w:pStyle w:val="1_867"/>
        <w:numPr>
          <w:ilvl w:val="0"/>
          <w:numId w:val="10"/>
        </w:numPr>
        <w:pBdr/>
        <w:spacing w:line="276" w:lineRule="auto"/>
        <w:ind/>
        <w:jc w:val="both"/>
        <w:rPr>
          <w:rFonts w:cs="Tahoma"/>
        </w:rPr>
      </w:pPr>
      <w:r>
        <w:rPr>
          <w:rFonts w:cs="Tahoma"/>
        </w:rPr>
        <w:t xml:space="preserve">1 przedstawiciel organizacji pozarządowej (członek organizacji pozarządowej).</w:t>
      </w:r>
      <w:r>
        <w:rPr>
          <w:rFonts w:cs="Tahoma"/>
        </w:rPr>
      </w:r>
      <w:r>
        <w:rPr>
          <w:rFonts w:cs="Tahoma"/>
        </w:rPr>
      </w:r>
    </w:p>
    <w:p>
      <w:pPr>
        <w:pStyle w:val="1_867"/>
        <w:pBdr/>
        <w:spacing w:line="276" w:lineRule="auto"/>
        <w:ind/>
        <w:jc w:val="both"/>
        <w:rPr/>
      </w:pPr>
      <w:r>
        <w:rPr>
          <w:rStyle w:val="1_866"/>
          <w:rFonts w:cs="Tahoma"/>
        </w:rPr>
        <w:t xml:space="preserve">4. </w:t>
      </w:r>
      <w:r>
        <w:t xml:space="preserve">Komisja konkursowa może działać bez udziału osoby będącej przedstawicielem organizacji pozarządowej w przypadkach określonych w art. 15 ust. 2da ustawy.</w:t>
      </w:r>
      <w:r/>
      <w:r/>
    </w:p>
    <w:p>
      <w:pPr>
        <w:pStyle w:val="1_867"/>
        <w:pBdr/>
        <w:spacing w:line="276" w:lineRule="auto"/>
        <w:ind/>
        <w:jc w:val="both"/>
        <w:rPr>
          <w:rFonts w:cs="Tahoma"/>
          <w:b/>
          <w:bCs/>
        </w:rPr>
      </w:pPr>
      <w:r>
        <w:rPr>
          <w:rFonts w:cs="Tahoma"/>
          <w:b/>
          <w:bCs/>
        </w:rPr>
      </w:r>
      <w:r>
        <w:rPr>
          <w:rFonts w:cs="Tahoma"/>
          <w:b/>
          <w:bCs/>
        </w:rPr>
      </w:r>
      <w:r>
        <w:rPr>
          <w:rFonts w:cs="Tahoma"/>
          <w:b/>
          <w:bCs/>
        </w:rPr>
      </w:r>
    </w:p>
    <w:p>
      <w:pPr>
        <w:pStyle w:val="1_867"/>
        <w:pBdr/>
        <w:spacing w:line="276" w:lineRule="auto"/>
        <w:ind/>
        <w:jc w:val="both"/>
        <w:rPr/>
      </w:pPr>
      <w:r>
        <w:rPr>
          <w:rStyle w:val="1_866"/>
          <w:rFonts w:cs="Times New Roman"/>
          <w:b/>
          <w:bCs/>
        </w:rPr>
        <w:t xml:space="preserve">§</w:t>
      </w:r>
      <w:r>
        <w:rPr>
          <w:rStyle w:val="1_866"/>
          <w:rFonts w:cs="Tahoma"/>
          <w:b/>
          <w:bCs/>
        </w:rPr>
        <w:t xml:space="preserve"> 14.</w:t>
      </w:r>
      <w:r>
        <w:rPr>
          <w:rStyle w:val="1_866"/>
          <w:rFonts w:cs="Tahoma"/>
        </w:rPr>
        <w:t xml:space="preserve">1. Do członków komisji konkursowej biorących udział w opiniowaniu ofert </w:t>
      </w:r>
      <w:r>
        <w:rPr>
          <w:rStyle w:val="1_866"/>
          <w:rFonts w:cs="Tahoma"/>
        </w:rPr>
        <w:t xml:space="preserve">stosuje się przepisy ustawy z dnia 14 czerwca 1960 r. Kodeks Postępowania Administracyjnego (Dz.U. z 2024r.,</w:t>
      </w:r>
      <w:r>
        <w:rPr>
          <w:rStyle w:val="1_866"/>
          <w:rFonts w:cs="Tahoma"/>
        </w:rPr>
        <w:br/>
      </w:r>
      <w:r>
        <w:rPr>
          <w:rStyle w:val="1_866"/>
          <w:rFonts w:cs="Tahoma"/>
        </w:rPr>
        <w:t xml:space="preserve">poz. 572), dotyczącej wyłączenia z postępowania administracyjnego.</w:t>
      </w:r>
      <w:r/>
      <w:r/>
    </w:p>
    <w:p>
      <w:pPr>
        <w:pStyle w:val="1_867"/>
        <w:pBdr/>
        <w:spacing w:line="276" w:lineRule="auto"/>
        <w:ind/>
        <w:jc w:val="both"/>
        <w:rPr>
          <w:rFonts w:cs="Tahoma"/>
        </w:rPr>
      </w:pPr>
      <w:r>
        <w:rPr>
          <w:rFonts w:cs="Tahoma"/>
        </w:rPr>
        <w:t xml:space="preserve">2. W przypadku wyłączenia z postępowania lub nieobecności członków komisji, posiedzenie odbywa się w zmniejszonym składzie, pod warunkiem, że bierze w nim udział co najmniej 2 osoby.</w:t>
      </w:r>
      <w:r>
        <w:rPr>
          <w:rFonts w:cs="Tahoma"/>
        </w:rPr>
      </w:r>
      <w:r>
        <w:rPr>
          <w:rFonts w:cs="Tahoma"/>
        </w:rPr>
      </w:r>
    </w:p>
    <w:p>
      <w:pPr>
        <w:pStyle w:val="1_867"/>
        <w:pBdr/>
        <w:spacing w:line="276" w:lineRule="auto"/>
        <w:ind/>
        <w:jc w:val="both"/>
        <w:rPr>
          <w:rFonts w:cs="Tahoma"/>
        </w:rPr>
      </w:pPr>
      <w:r>
        <w:rPr>
          <w:rFonts w:cs="Tahoma"/>
        </w:rPr>
        <w:t xml:space="preserve">3. Udział w pracach komisji jest nieodpłatny.</w:t>
      </w:r>
      <w:r>
        <w:rPr>
          <w:rFonts w:cs="Tahoma"/>
        </w:rPr>
      </w:r>
      <w:r>
        <w:rPr>
          <w:rFonts w:cs="Tahoma"/>
        </w:rPr>
      </w:r>
    </w:p>
    <w:p>
      <w:pPr>
        <w:pStyle w:val="1_867"/>
        <w:pBdr/>
        <w:spacing w:line="276" w:lineRule="auto"/>
        <w:ind/>
        <w:jc w:val="both"/>
        <w:rPr>
          <w:rFonts w:cs="Tahoma"/>
        </w:rPr>
      </w:pPr>
      <w:r>
        <w:rPr>
          <w:rFonts w:cs="Tahoma"/>
        </w:rPr>
        <w:t xml:space="preserve">4. W pracach komisji mogą brać udział z głosem doradczym także inne osoby, posiadające doświadczenie w realizacji zadań będących przedmiotem konkursu.</w:t>
      </w:r>
      <w:r>
        <w:rPr>
          <w:rFonts w:cs="Tahoma"/>
        </w:rPr>
      </w:r>
      <w:r>
        <w:rPr>
          <w:rFonts w:cs="Tahoma"/>
        </w:rPr>
      </w:r>
    </w:p>
    <w:p>
      <w:pPr>
        <w:pStyle w:val="1_867"/>
        <w:pBdr/>
        <w:spacing w:line="276" w:lineRule="auto"/>
        <w:ind/>
        <w:jc w:val="both"/>
        <w:rPr/>
      </w:pPr>
      <w:r>
        <w:rPr>
          <w:rStyle w:val="1_866"/>
          <w:rFonts w:cs="Times New Roman"/>
          <w:b/>
          <w:bCs/>
        </w:rPr>
        <w:t xml:space="preserve">§</w:t>
      </w:r>
      <w:r>
        <w:rPr>
          <w:rStyle w:val="1_866"/>
          <w:rFonts w:cs="Tahoma"/>
          <w:b/>
          <w:bCs/>
        </w:rPr>
        <w:t xml:space="preserve"> 15.</w:t>
      </w:r>
      <w:r>
        <w:rPr>
          <w:rStyle w:val="1_866"/>
          <w:rFonts w:cs="Tahoma"/>
        </w:rPr>
        <w:t xml:space="preserve">1. Członkowie komisji wybierają spośród siebie Przewodniczącego.</w:t>
      </w:r>
      <w:r/>
      <w:r/>
    </w:p>
    <w:p>
      <w:pPr>
        <w:pStyle w:val="1_867"/>
        <w:pBdr/>
        <w:spacing w:line="276" w:lineRule="auto"/>
        <w:ind/>
        <w:jc w:val="both"/>
        <w:rPr>
          <w:rFonts w:cs="Tahoma"/>
        </w:rPr>
      </w:pPr>
      <w:r>
        <w:rPr>
          <w:rFonts w:cs="Tahoma"/>
        </w:rPr>
        <w:t xml:space="preserve">2. Funkcję Sekretarza komisji może pełnić pracownik urzędu (bez prawa głosu).</w:t>
      </w:r>
      <w:r>
        <w:rPr>
          <w:rFonts w:cs="Tahoma"/>
        </w:rPr>
      </w:r>
      <w:r>
        <w:rPr>
          <w:rFonts w:cs="Tahoma"/>
        </w:rPr>
      </w:r>
    </w:p>
    <w:p>
      <w:pPr>
        <w:pStyle w:val="1_867"/>
        <w:pBdr/>
        <w:spacing w:line="276" w:lineRule="auto"/>
        <w:ind/>
        <w:jc w:val="both"/>
        <w:rPr>
          <w:rFonts w:cs="Tahoma"/>
        </w:rPr>
      </w:pPr>
      <w:r>
        <w:rPr>
          <w:rFonts w:cs="Tahoma"/>
        </w:rPr>
        <w:t xml:space="preserve">3. Komisja konkursowa rozpatruje oferty w terminie podanym w ogłoszeniu konkursowym.</w:t>
      </w:r>
      <w:r>
        <w:rPr>
          <w:rFonts w:cs="Tahoma"/>
        </w:rPr>
      </w:r>
      <w:r>
        <w:rPr>
          <w:rFonts w:cs="Tahoma"/>
        </w:rPr>
      </w:r>
    </w:p>
    <w:p>
      <w:pPr>
        <w:pStyle w:val="1_867"/>
        <w:pBdr/>
        <w:spacing w:line="276" w:lineRule="auto"/>
        <w:ind/>
        <w:jc w:val="both"/>
        <w:rPr>
          <w:rFonts w:cs="Tahoma"/>
        </w:rPr>
      </w:pPr>
      <w:r>
        <w:rPr>
          <w:rFonts w:cs="Tahoma"/>
        </w:rPr>
        <w:t xml:space="preserve">4. Komisja konkursowa przystępując do rozstrzygnięcia konkursu ofert, dokonuje następujących czynności:</w:t>
      </w:r>
      <w:r>
        <w:rPr>
          <w:rFonts w:cs="Tahoma"/>
        </w:rPr>
      </w:r>
      <w:r>
        <w:rPr>
          <w:rFonts w:cs="Tahoma"/>
        </w:rPr>
      </w:r>
    </w:p>
    <w:p>
      <w:pPr>
        <w:pStyle w:val="1_867"/>
        <w:pBdr/>
        <w:spacing w:line="276" w:lineRule="auto"/>
        <w:ind/>
        <w:jc w:val="both"/>
        <w:rPr/>
      </w:pPr>
      <w:r>
        <w:rPr>
          <w:rStyle w:val="1_866"/>
          <w:rFonts w:cs="Tahoma"/>
          <w:b/>
          <w:bCs/>
        </w:rPr>
        <w:tab/>
      </w:r>
      <w:r>
        <w:rPr>
          <w:rStyle w:val="1_866"/>
          <w:rFonts w:cs="Tahoma"/>
        </w:rPr>
        <w:t xml:space="preserve">a) zapoznaje się z ofertami podmiotów, złożonymi w ramach konkursu,</w:t>
      </w:r>
      <w:r/>
      <w:r/>
    </w:p>
    <w:p>
      <w:pPr>
        <w:pStyle w:val="1_867"/>
        <w:pBdr/>
        <w:spacing w:line="276" w:lineRule="auto"/>
        <w:ind/>
        <w:jc w:val="both"/>
        <w:rPr/>
      </w:pPr>
      <w:r>
        <w:rPr>
          <w:rStyle w:val="1_866"/>
          <w:rFonts w:cs="Tahoma"/>
        </w:rPr>
        <w:tab/>
        <w:t xml:space="preserve">b) wypełnia oświadczenia dopuszczające lub wyłączające z postępowania konkursowego,</w:t>
      </w:r>
      <w:r/>
      <w:r/>
    </w:p>
    <w:p>
      <w:pPr>
        <w:pStyle w:val="1_867"/>
        <w:pBdr/>
        <w:spacing w:line="276" w:lineRule="auto"/>
        <w:ind/>
        <w:jc w:val="both"/>
        <w:rPr/>
      </w:pPr>
      <w:r>
        <w:rPr>
          <w:rStyle w:val="1_866"/>
          <w:rFonts w:cs="Tahoma"/>
        </w:rPr>
        <w:tab/>
        <w:t xml:space="preserve">c) stwierdza prawomocność posiedzenia komisji,</w:t>
      </w:r>
      <w:r/>
      <w:r/>
    </w:p>
    <w:p>
      <w:pPr>
        <w:pStyle w:val="1_867"/>
        <w:pBdr/>
        <w:spacing w:line="276" w:lineRule="auto"/>
        <w:ind/>
        <w:jc w:val="both"/>
        <w:rPr/>
      </w:pPr>
      <w:r>
        <w:rPr>
          <w:rStyle w:val="1_866"/>
          <w:rFonts w:cs="Tahoma"/>
        </w:rPr>
        <w:tab/>
        <w:t xml:space="preserve">d) sprawdza prawidłowość ogłoszenia konkursu,</w:t>
      </w:r>
      <w:r/>
      <w:r/>
    </w:p>
    <w:p>
      <w:pPr>
        <w:pStyle w:val="1_867"/>
        <w:pBdr/>
        <w:spacing w:line="276" w:lineRule="auto"/>
        <w:ind w:right="0" w:firstLine="0" w:left="720"/>
        <w:jc w:val="both"/>
        <w:rPr/>
      </w:pPr>
      <w:r>
        <w:rPr>
          <w:rStyle w:val="1_866"/>
          <w:rFonts w:cs="Tahoma"/>
        </w:rPr>
        <w:t xml:space="preserve">e) ocenia złożone oferty pod względem formalnym (poprawne wypełnienie ofert</w:t>
      </w:r>
      <w:r>
        <w:rPr>
          <w:rStyle w:val="1_866"/>
          <w:rFonts w:cs="Tahoma"/>
        </w:rPr>
        <w:br/>
      </w:r>
      <w:r>
        <w:rPr>
          <w:rStyle w:val="1_866"/>
          <w:rFonts w:cs="Tahoma"/>
        </w:rPr>
        <w:t xml:space="preserve">oraz złożenie kompletu załączników),</w:t>
      </w:r>
      <w:r/>
      <w:r/>
    </w:p>
    <w:p>
      <w:pPr>
        <w:pStyle w:val="1_867"/>
        <w:pBdr/>
        <w:spacing w:line="276" w:lineRule="auto"/>
        <w:ind w:right="0" w:firstLine="0" w:left="720"/>
        <w:jc w:val="both"/>
        <w:rPr/>
      </w:pPr>
      <w:r>
        <w:rPr>
          <w:rStyle w:val="1_866"/>
          <w:rFonts w:cs="Tahoma"/>
        </w:rPr>
        <w:t xml:space="preserve">f) odrzuca oferty nie spełniające formalnych warunków konkursu lub zgłoszone</w:t>
      </w:r>
      <w:r>
        <w:rPr>
          <w:rStyle w:val="1_866"/>
          <w:rFonts w:cs="Tahoma"/>
        </w:rPr>
        <w:br/>
      </w:r>
      <w:r>
        <w:rPr>
          <w:rStyle w:val="1_866"/>
          <w:rFonts w:cs="Tahoma"/>
        </w:rPr>
        <w:t xml:space="preserve">po wyznaczonym terminie,</w:t>
      </w:r>
      <w:r/>
      <w:r/>
    </w:p>
    <w:p>
      <w:pPr>
        <w:pStyle w:val="1_867"/>
        <w:pBdr/>
        <w:spacing w:line="276" w:lineRule="auto"/>
        <w:ind/>
        <w:jc w:val="both"/>
        <w:rPr/>
      </w:pPr>
      <w:r>
        <w:rPr>
          <w:rStyle w:val="1_866"/>
          <w:rFonts w:cs="Tahoma"/>
        </w:rPr>
        <w:tab/>
        <w:t xml:space="preserve">g) po zapoznaniu się z merytoryczną treścią oferty, każdy członek komisji konkursowej </w:t>
      </w:r>
      <w:r>
        <w:rPr>
          <w:rStyle w:val="1_866"/>
          <w:rFonts w:cs="Tahoma"/>
        </w:rPr>
        <w:tab/>
        <w:t xml:space="preserve">dokonuje indywidualnie punktowej oceny na swojej karcie ocen, zgodnie ze wskaźnikami </w:t>
      </w:r>
      <w:r>
        <w:rPr>
          <w:rStyle w:val="1_866"/>
          <w:rFonts w:cs="Tahoma"/>
        </w:rPr>
        <w:tab/>
        <w:t xml:space="preserve">określonymi w ogłoszeniu konkursowym oraz proponuje wysokość dotacji,</w:t>
      </w:r>
      <w:r/>
      <w:r/>
    </w:p>
    <w:p>
      <w:pPr>
        <w:pStyle w:val="1_867"/>
        <w:pBdr/>
        <w:spacing w:line="276" w:lineRule="auto"/>
        <w:ind/>
        <w:jc w:val="both"/>
        <w:rPr/>
      </w:pPr>
      <w:r>
        <w:rPr>
          <w:rStyle w:val="1_866"/>
          <w:rFonts w:cs="Tahoma"/>
        </w:rPr>
        <w:tab/>
        <w:t xml:space="preserve">h) komisja konkursowa sporządza protokół z prac komisji, odczytuje jego treść i podpisuje.</w:t>
      </w:r>
      <w:r/>
      <w:r/>
    </w:p>
    <w:p>
      <w:pPr>
        <w:pStyle w:val="1_867"/>
        <w:pBdr/>
        <w:spacing w:line="276" w:lineRule="auto"/>
        <w:ind/>
        <w:jc w:val="both"/>
        <w:rPr>
          <w:rFonts w:cs="Tahoma"/>
        </w:rPr>
      </w:pPr>
      <w:r>
        <w:rPr>
          <w:rFonts w:cs="Tahoma"/>
        </w:rPr>
        <w:t xml:space="preserve">5. Sporządzony protokół powinien zawierać:</w:t>
      </w:r>
      <w:r>
        <w:rPr>
          <w:rFonts w:cs="Tahoma"/>
        </w:rPr>
      </w:r>
      <w:r>
        <w:rPr>
          <w:rFonts w:cs="Tahoma"/>
        </w:rPr>
      </w:r>
    </w:p>
    <w:p>
      <w:pPr>
        <w:pStyle w:val="1_867"/>
        <w:pBdr/>
        <w:spacing w:line="276" w:lineRule="auto"/>
        <w:ind/>
        <w:jc w:val="both"/>
        <w:rPr>
          <w:rFonts w:cs="Tahoma"/>
        </w:rPr>
      </w:pPr>
      <w:r>
        <w:rPr>
          <w:rFonts w:cs="Tahoma"/>
        </w:rPr>
        <w:tab/>
        <w:t xml:space="preserve">a) oznaczenie miejsca i czasu konkursu,</w:t>
      </w:r>
      <w:r>
        <w:rPr>
          <w:rFonts w:cs="Tahoma"/>
        </w:rPr>
      </w:r>
      <w:r>
        <w:rPr>
          <w:rFonts w:cs="Tahoma"/>
        </w:rPr>
      </w:r>
    </w:p>
    <w:p>
      <w:pPr>
        <w:pStyle w:val="1_867"/>
        <w:pBdr/>
        <w:spacing w:line="276" w:lineRule="auto"/>
        <w:ind/>
        <w:jc w:val="both"/>
        <w:rPr>
          <w:rFonts w:cs="Tahoma"/>
        </w:rPr>
      </w:pPr>
      <w:r>
        <w:rPr>
          <w:rFonts w:cs="Tahoma"/>
        </w:rPr>
        <w:tab/>
        <w:t xml:space="preserve">b) imiona i nazwiska członków komisji konkursowej,</w:t>
      </w:r>
      <w:r>
        <w:rPr>
          <w:rFonts w:cs="Tahoma"/>
        </w:rPr>
      </w:r>
      <w:r>
        <w:rPr>
          <w:rFonts w:cs="Tahoma"/>
        </w:rPr>
      </w:r>
    </w:p>
    <w:p>
      <w:pPr>
        <w:pStyle w:val="1_867"/>
        <w:pBdr/>
        <w:spacing w:line="276" w:lineRule="auto"/>
        <w:ind/>
        <w:jc w:val="both"/>
        <w:rPr>
          <w:rFonts w:cs="Tahoma"/>
        </w:rPr>
      </w:pPr>
      <w:r>
        <w:rPr>
          <w:rFonts w:cs="Tahoma"/>
        </w:rPr>
        <w:tab/>
        <w:t xml:space="preserve">c) liczbę zgłoszonych ofert,</w:t>
      </w:r>
      <w:r>
        <w:rPr>
          <w:rFonts w:cs="Tahoma"/>
        </w:rPr>
      </w:r>
      <w:r>
        <w:rPr>
          <w:rFonts w:cs="Tahoma"/>
        </w:rPr>
      </w:r>
    </w:p>
    <w:p>
      <w:pPr>
        <w:pStyle w:val="1_867"/>
        <w:pBdr/>
        <w:spacing w:line="276" w:lineRule="auto"/>
        <w:ind/>
        <w:jc w:val="both"/>
        <w:rPr>
          <w:rFonts w:cs="Tahoma"/>
        </w:rPr>
      </w:pPr>
      <w:r>
        <w:rPr>
          <w:rFonts w:cs="Tahoma"/>
        </w:rPr>
        <w:tab/>
        <w:t xml:space="preserve">d) wskazanie ofert odpowiadających warunkom konkursu,</w:t>
      </w:r>
      <w:r>
        <w:rPr>
          <w:rFonts w:cs="Tahoma"/>
        </w:rPr>
      </w:r>
      <w:r>
        <w:rPr>
          <w:rFonts w:cs="Tahoma"/>
        </w:rPr>
      </w:r>
    </w:p>
    <w:p>
      <w:pPr>
        <w:pStyle w:val="1_867"/>
        <w:pBdr/>
        <w:spacing w:line="276" w:lineRule="auto"/>
        <w:ind/>
        <w:jc w:val="both"/>
        <w:rPr>
          <w:rFonts w:cs="Tahoma"/>
        </w:rPr>
      </w:pPr>
      <w:r>
        <w:rPr>
          <w:rFonts w:cs="Tahoma"/>
        </w:rPr>
        <w:tab/>
        <w:t xml:space="preserve">e) wskazanie ofert nieodpowiadających warunkom konkursu lub zgłoszonych po terminie,</w:t>
      </w:r>
      <w:r>
        <w:rPr>
          <w:rFonts w:cs="Tahoma"/>
        </w:rPr>
      </w:r>
      <w:r>
        <w:rPr>
          <w:rFonts w:cs="Tahoma"/>
        </w:rPr>
      </w:r>
    </w:p>
    <w:p>
      <w:pPr>
        <w:pStyle w:val="1_867"/>
        <w:pBdr/>
        <w:spacing w:line="276" w:lineRule="auto"/>
        <w:ind/>
        <w:jc w:val="both"/>
        <w:rPr/>
      </w:pPr>
      <w:r>
        <w:rPr>
          <w:rStyle w:val="1_866"/>
          <w:rFonts w:cs="Tahoma"/>
        </w:rPr>
        <w:tab/>
        <w:t xml:space="preserve">f) średnią arytmetyczna punktów </w:t>
      </w:r>
      <w:r>
        <w:rPr>
          <w:rStyle w:val="1_866"/>
          <w:rFonts w:cs="Tahoma"/>
        </w:rPr>
        <w:t xml:space="preserve">przyznawanych przez wszystkich członków komisji, </w:t>
      </w:r>
      <w:r>
        <w:rPr>
          <w:rStyle w:val="1_866"/>
          <w:rFonts w:cs="Tahoma"/>
        </w:rPr>
        <w:tab/>
        <w:t xml:space="preserve">zgodnie ze wskaźnikami określonymi w ogłoszeniu konkursowym,</w:t>
      </w:r>
      <w:r/>
      <w:r/>
    </w:p>
    <w:p>
      <w:pPr>
        <w:pStyle w:val="1_867"/>
        <w:pBdr/>
        <w:spacing w:line="276" w:lineRule="auto"/>
        <w:ind/>
        <w:jc w:val="both"/>
        <w:rPr/>
      </w:pPr>
      <w:r>
        <w:rPr>
          <w:rStyle w:val="1_866"/>
          <w:rFonts w:cs="Tahoma"/>
        </w:rPr>
        <w:tab/>
        <w:t xml:space="preserve">g) propozycje rozstrzygnięcia konkursu wraz z proponowaną wysokością dotacji,</w:t>
      </w:r>
      <w:r/>
      <w:r/>
    </w:p>
    <w:p>
      <w:pPr>
        <w:pStyle w:val="1_867"/>
        <w:pBdr/>
        <w:spacing w:line="276" w:lineRule="auto"/>
        <w:ind/>
        <w:jc w:val="both"/>
        <w:rPr/>
      </w:pPr>
      <w:r>
        <w:rPr>
          <w:rStyle w:val="1_866"/>
          <w:rFonts w:cs="Tahoma"/>
        </w:rPr>
        <w:tab/>
        <w:t xml:space="preserve">h) podpisy członków komisji.</w:t>
      </w:r>
      <w:r/>
      <w:r/>
    </w:p>
    <w:p>
      <w:pPr>
        <w:pStyle w:val="1_867"/>
        <w:pBdr/>
        <w:spacing w:line="276" w:lineRule="auto"/>
        <w:ind/>
        <w:jc w:val="both"/>
        <w:rPr>
          <w:rFonts w:cs="Tahoma"/>
        </w:rPr>
      </w:pPr>
      <w:r>
        <w:rPr>
          <w:rFonts w:cs="Tahoma"/>
        </w:rPr>
        <w:t xml:space="preserve">6. Przeprowadzona przez komisję konkursową ocena ofert oraz propozycja rozstrzygnięcia konkursu zostanie przedstawiona Burmistrzowi Miasta Pionki, który dokona ostatecznego wyboru i zdecyduje o wysokości dotacji.</w:t>
      </w:r>
      <w:r>
        <w:rPr>
          <w:rFonts w:cs="Tahoma"/>
        </w:rPr>
      </w:r>
      <w:r>
        <w:rPr>
          <w:rFonts w:cs="Tahoma"/>
        </w:rPr>
      </w:r>
    </w:p>
    <w:p>
      <w:pPr>
        <w:pStyle w:val="1_867"/>
        <w:pBdr/>
        <w:spacing w:line="276" w:lineRule="auto"/>
        <w:ind/>
        <w:jc w:val="both"/>
        <w:rPr>
          <w:rFonts w:cs="Tahoma"/>
        </w:rPr>
      </w:pPr>
      <w:r>
        <w:rPr>
          <w:rFonts w:cs="Tahoma"/>
        </w:rPr>
        <w:t xml:space="preserve">7. Komisja konkursowa ulega rozwiązaniu z chwilą rozstrzygnięcia konkursu ofert.</w:t>
      </w:r>
      <w:r>
        <w:rPr>
          <w:rFonts w:cs="Tahoma"/>
        </w:rPr>
      </w:r>
      <w:r>
        <w:rPr>
          <w:rFonts w:cs="Tahoma"/>
        </w:rPr>
      </w:r>
    </w:p>
    <w:p>
      <w:pPr>
        <w:pStyle w:val="1_867"/>
        <w:pBdr/>
        <w:spacing w:line="276" w:lineRule="auto"/>
        <w:ind/>
        <w:jc w:val="both"/>
        <w:rPr>
          <w:rFonts w:cs="Tahoma"/>
        </w:rPr>
      </w:pPr>
      <w:r>
        <w:rPr>
          <w:rFonts w:cs="Tahoma"/>
        </w:rPr>
        <w:tab/>
        <w:tab/>
        <w:tab/>
        <w:tab/>
        <w:tab/>
        <w:tab/>
      </w:r>
      <w:r>
        <w:rPr>
          <w:rFonts w:cs="Tahoma"/>
        </w:rPr>
      </w:r>
      <w:r>
        <w:rPr>
          <w:rFonts w:cs="Tahoma"/>
        </w:rPr>
      </w:r>
    </w:p>
    <w:p>
      <w:pPr>
        <w:pStyle w:val="1_867"/>
        <w:pBdr/>
        <w:spacing w:line="276" w:lineRule="auto"/>
        <w:ind/>
        <w:jc w:val="both"/>
        <w:rPr>
          <w:rFonts w:cs="Tahoma"/>
          <w:b/>
          <w:bCs/>
          <w:sz w:val="26"/>
          <w:szCs w:val="26"/>
        </w:rPr>
      </w:pPr>
      <w:r>
        <w:rPr>
          <w:rFonts w:cs="Tahoma"/>
          <w:b/>
          <w:bCs/>
          <w:sz w:val="26"/>
          <w:szCs w:val="26"/>
        </w:rPr>
        <w:t xml:space="preserve">Rozdział VII. Podmioty odpowiedzialne za realizację i opracowanie programu</w:t>
      </w:r>
      <w:r>
        <w:rPr>
          <w:rFonts w:cs="Tahoma"/>
          <w:b/>
          <w:bCs/>
          <w:sz w:val="26"/>
          <w:szCs w:val="26"/>
        </w:rPr>
      </w:r>
      <w:r>
        <w:rPr>
          <w:rFonts w:cs="Tahoma"/>
          <w:b/>
          <w:bCs/>
          <w:sz w:val="26"/>
          <w:szCs w:val="26"/>
        </w:rPr>
      </w:r>
    </w:p>
    <w:p>
      <w:pPr>
        <w:pStyle w:val="1_867"/>
        <w:pBdr/>
        <w:spacing w:line="276" w:lineRule="auto"/>
        <w:ind/>
        <w:jc w:val="both"/>
        <w:rPr>
          <w:rFonts w:cs="Times New Roman"/>
          <w:b/>
          <w:bCs/>
        </w:rPr>
      </w:pPr>
      <w:r>
        <w:rPr>
          <w:rFonts w:cs="Times New Roman"/>
          <w:b/>
          <w:bCs/>
        </w:rPr>
      </w:r>
      <w:r>
        <w:rPr>
          <w:rFonts w:cs="Times New Roman"/>
          <w:b/>
          <w:bCs/>
        </w:rPr>
      </w:r>
      <w:r>
        <w:rPr>
          <w:rFonts w:cs="Times New Roman"/>
          <w:b/>
          <w:bCs/>
        </w:rPr>
      </w:r>
    </w:p>
    <w:p>
      <w:pPr>
        <w:pStyle w:val="1_867"/>
        <w:pBdr/>
        <w:spacing w:line="276" w:lineRule="auto"/>
        <w:ind/>
        <w:jc w:val="both"/>
        <w:rPr/>
      </w:pPr>
      <w:r>
        <w:rPr>
          <w:rStyle w:val="1_866"/>
          <w:rFonts w:cs="Times New Roman"/>
          <w:b/>
          <w:bCs/>
        </w:rPr>
        <w:t xml:space="preserve">§ </w:t>
      </w:r>
      <w:r>
        <w:rPr>
          <w:rStyle w:val="1_866"/>
          <w:rFonts w:cs="Tahoma"/>
          <w:b/>
          <w:bCs/>
        </w:rPr>
        <w:t xml:space="preserve">16. </w:t>
      </w:r>
      <w:r>
        <w:rPr>
          <w:rStyle w:val="1_866"/>
          <w:rFonts w:cs="Tahoma"/>
        </w:rPr>
        <w:t xml:space="preserve">Rada Miasta Pionki uchwalając budżet gminy z wysokością środków finansowych przeznaczonych na realizację programu, wytycza finansowy zakres współpracy.</w:t>
      </w:r>
      <w:r/>
      <w:r/>
    </w:p>
    <w:p>
      <w:pPr>
        <w:pStyle w:val="1_867"/>
        <w:pBdr/>
        <w:spacing w:line="276" w:lineRule="auto"/>
        <w:ind/>
        <w:jc w:val="both"/>
        <w:rPr>
          <w:rFonts w:cs="Times New Roman"/>
          <w:b/>
          <w:bCs/>
        </w:rPr>
      </w:pPr>
      <w:r>
        <w:rPr>
          <w:rFonts w:cs="Times New Roman"/>
          <w:b/>
          <w:bCs/>
        </w:rPr>
      </w:r>
      <w:r>
        <w:rPr>
          <w:rFonts w:cs="Times New Roman"/>
          <w:b/>
          <w:bCs/>
        </w:rPr>
      </w:r>
      <w:r>
        <w:rPr>
          <w:rFonts w:cs="Times New Roman"/>
          <w:b/>
          <w:bCs/>
        </w:rPr>
      </w:r>
    </w:p>
    <w:p>
      <w:pPr>
        <w:pStyle w:val="1_867"/>
        <w:pBdr/>
        <w:spacing w:line="276" w:lineRule="auto"/>
        <w:ind/>
        <w:jc w:val="both"/>
        <w:rPr/>
      </w:pPr>
      <w:r>
        <w:rPr>
          <w:rStyle w:val="1_866"/>
          <w:rFonts w:cs="Times New Roman"/>
          <w:b/>
          <w:bCs/>
        </w:rPr>
        <w:t xml:space="preserve">§</w:t>
      </w:r>
      <w:r>
        <w:rPr>
          <w:rStyle w:val="1_866"/>
          <w:rFonts w:cs="Tahoma"/>
          <w:b/>
          <w:bCs/>
        </w:rPr>
        <w:t xml:space="preserve"> 17. </w:t>
      </w:r>
      <w:r>
        <w:rPr>
          <w:rStyle w:val="1_866"/>
          <w:rFonts w:cs="Tahoma"/>
        </w:rPr>
        <w:t xml:space="preserve">Burmistrz Miasta Pionki w zakresie:</w:t>
      </w:r>
      <w:r/>
      <w:r/>
    </w:p>
    <w:p>
      <w:pPr>
        <w:pStyle w:val="1_867"/>
        <w:numPr>
          <w:ilvl w:val="0"/>
          <w:numId w:val="8"/>
        </w:numPr>
        <w:pBdr/>
        <w:spacing w:line="276" w:lineRule="auto"/>
        <w:ind/>
        <w:jc w:val="both"/>
        <w:rPr>
          <w:rFonts w:cs="Tahoma"/>
        </w:rPr>
      </w:pPr>
      <w:r>
        <w:rPr>
          <w:rFonts w:cs="Tahoma"/>
        </w:rPr>
        <w:t xml:space="preserve">określenia szczegółowych warunków współpracy z poszczególnymi organizacjami i innymi podmiotami,</w:t>
      </w:r>
      <w:r>
        <w:rPr>
          <w:rFonts w:cs="Tahoma"/>
        </w:rPr>
      </w:r>
      <w:r>
        <w:rPr>
          <w:rFonts w:cs="Tahoma"/>
        </w:rPr>
      </w:r>
    </w:p>
    <w:p>
      <w:pPr>
        <w:pStyle w:val="1_867"/>
        <w:numPr>
          <w:ilvl w:val="0"/>
          <w:numId w:val="8"/>
        </w:numPr>
        <w:pBdr/>
        <w:spacing w:line="276" w:lineRule="auto"/>
        <w:ind/>
        <w:jc w:val="both"/>
        <w:rPr>
          <w:rFonts w:cs="Tahoma"/>
        </w:rPr>
      </w:pPr>
      <w:r>
        <w:rPr>
          <w:rFonts w:cs="Tahoma"/>
        </w:rPr>
        <w:t xml:space="preserve">dysponowania środkami finansowymi niezbędnymi do realizacji poszczególnych zadań,          w ramach budżetu gminy,</w:t>
      </w:r>
      <w:r>
        <w:rPr>
          <w:rFonts w:cs="Tahoma"/>
        </w:rPr>
      </w:r>
      <w:r>
        <w:rPr>
          <w:rFonts w:cs="Tahoma"/>
        </w:rPr>
      </w:r>
    </w:p>
    <w:p>
      <w:pPr>
        <w:pStyle w:val="1_867"/>
        <w:numPr>
          <w:ilvl w:val="0"/>
          <w:numId w:val="8"/>
        </w:numPr>
        <w:pBdr/>
        <w:spacing w:line="276" w:lineRule="auto"/>
        <w:ind/>
        <w:jc w:val="both"/>
        <w:rPr>
          <w:rFonts w:cs="Tahoma"/>
        </w:rPr>
      </w:pPr>
      <w:r>
        <w:rPr>
          <w:rFonts w:cs="Tahoma"/>
        </w:rPr>
        <w:t xml:space="preserve">zatwierdzania regulaminów konkursowych oraz ogłaszania otwartych konkursów ofert</w:t>
        <w:br/>
        <w:t xml:space="preserve">na realizację zadań publicznych,</w:t>
      </w:r>
      <w:r>
        <w:rPr>
          <w:rFonts w:cs="Tahoma"/>
        </w:rPr>
      </w:r>
      <w:r>
        <w:rPr>
          <w:rFonts w:cs="Tahoma"/>
        </w:rPr>
      </w:r>
    </w:p>
    <w:p>
      <w:pPr>
        <w:pStyle w:val="1_867"/>
        <w:numPr>
          <w:ilvl w:val="0"/>
          <w:numId w:val="8"/>
        </w:numPr>
        <w:pBdr/>
        <w:spacing w:line="276" w:lineRule="auto"/>
        <w:ind/>
        <w:jc w:val="both"/>
        <w:rPr>
          <w:rFonts w:cs="Tahoma"/>
        </w:rPr>
      </w:pPr>
      <w:r>
        <w:rPr>
          <w:rFonts w:cs="Tahoma"/>
        </w:rPr>
        <w:t xml:space="preserve">ustalania składu osobowego komisji konkursowych,</w:t>
      </w:r>
      <w:r>
        <w:rPr>
          <w:rFonts w:cs="Tahoma"/>
        </w:rPr>
      </w:r>
      <w:r>
        <w:rPr>
          <w:rFonts w:cs="Tahoma"/>
        </w:rPr>
      </w:r>
    </w:p>
    <w:p>
      <w:pPr>
        <w:pStyle w:val="1_867"/>
        <w:numPr>
          <w:ilvl w:val="0"/>
          <w:numId w:val="8"/>
        </w:numPr>
        <w:pBdr/>
        <w:spacing w:line="276" w:lineRule="auto"/>
        <w:ind/>
        <w:jc w:val="both"/>
        <w:rPr>
          <w:rFonts w:cs="Tahoma"/>
        </w:rPr>
      </w:pPr>
      <w:r>
        <w:rPr>
          <w:rFonts w:cs="Tahoma"/>
        </w:rPr>
        <w:t xml:space="preserve">podejmowania ostatecznej decyzji o wysokości dotacji przeznaczonych na realizacje poszczególnych zadań,</w:t>
      </w:r>
      <w:r>
        <w:rPr>
          <w:rFonts w:cs="Tahoma"/>
        </w:rPr>
      </w:r>
      <w:r>
        <w:rPr>
          <w:rFonts w:cs="Tahoma"/>
        </w:rPr>
      </w:r>
    </w:p>
    <w:p>
      <w:pPr>
        <w:pStyle w:val="1_867"/>
        <w:numPr>
          <w:ilvl w:val="0"/>
          <w:numId w:val="8"/>
        </w:numPr>
        <w:pBdr/>
        <w:spacing w:line="276" w:lineRule="auto"/>
        <w:ind/>
        <w:jc w:val="both"/>
        <w:rPr>
          <w:rFonts w:cs="Tahoma"/>
        </w:rPr>
      </w:pPr>
      <w:r>
        <w:rPr>
          <w:rFonts w:cs="Tahoma"/>
        </w:rPr>
        <w:t xml:space="preserve">upoważniania pracowników do przeprowadzania kontroli realizacji zadania.</w:t>
      </w:r>
      <w:r>
        <w:rPr>
          <w:rFonts w:cs="Tahoma"/>
        </w:rPr>
      </w:r>
      <w:r>
        <w:rPr>
          <w:rFonts w:cs="Tahoma"/>
        </w:rPr>
      </w:r>
    </w:p>
    <w:p>
      <w:pPr>
        <w:pStyle w:val="1_867"/>
        <w:pBdr/>
        <w:spacing w:line="276" w:lineRule="auto"/>
        <w:ind/>
        <w:jc w:val="both"/>
        <w:rPr>
          <w:rFonts w:cs="Tahoma"/>
          <w:b/>
          <w:bCs/>
        </w:rPr>
      </w:pPr>
      <w:r>
        <w:rPr>
          <w:rFonts w:cs="Tahoma"/>
          <w:b/>
          <w:bCs/>
        </w:rPr>
        <w:tab/>
        <w:tab/>
        <w:tab/>
        <w:tab/>
        <w:tab/>
        <w:tab/>
        <w:t xml:space="preserve">  </w:t>
      </w:r>
      <w:r>
        <w:rPr>
          <w:rFonts w:cs="Tahoma"/>
          <w:b/>
          <w:bCs/>
        </w:rPr>
      </w:r>
      <w:r>
        <w:rPr>
          <w:rFonts w:cs="Tahoma"/>
          <w:b/>
          <w:bCs/>
        </w:rPr>
      </w:r>
    </w:p>
    <w:p>
      <w:pPr>
        <w:pStyle w:val="1_867"/>
        <w:pBdr/>
        <w:spacing w:line="276" w:lineRule="auto"/>
        <w:ind/>
        <w:jc w:val="both"/>
        <w:rPr/>
      </w:pPr>
      <w:r>
        <w:rPr>
          <w:rStyle w:val="1_866"/>
          <w:rFonts w:cs="Times New Roman"/>
          <w:b/>
          <w:bCs/>
        </w:rPr>
        <w:t xml:space="preserve">§</w:t>
      </w:r>
      <w:r>
        <w:rPr>
          <w:rStyle w:val="1_866"/>
          <w:rFonts w:cs="Tahoma"/>
          <w:b/>
          <w:bCs/>
        </w:rPr>
        <w:t xml:space="preserve"> 18.</w:t>
      </w:r>
      <w:r>
        <w:rPr>
          <w:rStyle w:val="1_866"/>
          <w:rFonts w:cs="Tahoma"/>
        </w:rPr>
        <w:t xml:space="preserve"> Komórka merytoryczna w zakresie:</w:t>
      </w:r>
      <w:r/>
      <w:r/>
    </w:p>
    <w:p>
      <w:pPr>
        <w:pStyle w:val="1_867"/>
        <w:numPr>
          <w:ilvl w:val="1"/>
          <w:numId w:val="9"/>
        </w:numPr>
        <w:pBdr/>
        <w:spacing w:line="276" w:lineRule="auto"/>
        <w:ind/>
        <w:jc w:val="both"/>
        <w:rPr>
          <w:rFonts w:cs="Tahoma"/>
        </w:rPr>
      </w:pPr>
      <w:r>
        <w:rPr>
          <w:rFonts w:cs="Tahoma"/>
        </w:rPr>
        <w:t xml:space="preserve">bieżących kontaktów z organizacjami pozarządowymi i innymi podmiotami,</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przygotowywania projektu programu na rok następny,</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koordynowania konsultacji projektu programu,</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przygotowywania regulaminów poszczególnych konkursów,</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przygotowania i publikacji ogłoszeń o otwartych konkursach ofert na realizację zadań         z zakresu pożytku publicznego,</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zbierania ofert poszczególnych organizacji pozarządowych i innych podmiotów,</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wstępnej oceny formalnej ofert konkursowych,</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oceny wniosków w trybie tzw. „małych dotacji” oraz rozpatrywanie złożonych uwag,</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organizowanie prac komisji konkursowych opiniujących oferty w otwartych konkursach,</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publikacji wyników konkursu,</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przygotowania umów o dotację,</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kontroli i oceny realizacji zadań zleconych w otwartych konkursach ofert i w trybie</w:t>
        <w:br/>
        <w:t xml:space="preserve">tzw. „małych dotacji'' pod względem merytorycznym,</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redagowania informacji umieszczanych na stronie internetowej urzędu i BIP,</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aktualizacji wykazu organizacji pozarządowych i innych podmiotów,</w:t>
      </w:r>
      <w:r>
        <w:rPr>
          <w:rFonts w:cs="Tahoma"/>
        </w:rPr>
      </w:r>
      <w:r>
        <w:rPr>
          <w:rFonts w:cs="Tahoma"/>
        </w:rPr>
      </w:r>
    </w:p>
    <w:p>
      <w:pPr>
        <w:pStyle w:val="1_867"/>
        <w:numPr>
          <w:ilvl w:val="1"/>
          <w:numId w:val="9"/>
        </w:numPr>
        <w:pBdr/>
        <w:spacing w:line="276" w:lineRule="auto"/>
        <w:ind/>
        <w:jc w:val="both"/>
        <w:rPr>
          <w:rFonts w:cs="Tahoma"/>
        </w:rPr>
      </w:pPr>
      <w:r>
        <w:rPr>
          <w:rFonts w:cs="Tahoma"/>
        </w:rPr>
        <w:t xml:space="preserve">poradnictwa w sprawach organizacyjno-prawnych dla organizacji pozarządowych </w:t>
        <w:br/>
        <w:t xml:space="preserve">i innych podmiotów.</w:t>
      </w:r>
      <w:r>
        <w:rPr>
          <w:rFonts w:cs="Tahoma"/>
        </w:rPr>
      </w:r>
      <w:r>
        <w:rPr>
          <w:rFonts w:cs="Tahoma"/>
        </w:rPr>
      </w:r>
    </w:p>
    <w:p>
      <w:pPr>
        <w:pStyle w:val="1_867"/>
        <w:pBdr/>
        <w:spacing w:line="276" w:lineRule="auto"/>
        <w:ind w:right="0" w:hanging="359" w:left="1080"/>
        <w:jc w:val="both"/>
        <w:rPr>
          <w:rFonts w:cs="Tahoma"/>
        </w:rPr>
      </w:pPr>
      <w:r>
        <w:rPr>
          <w:rFonts w:cs="Tahoma"/>
        </w:rPr>
      </w:r>
      <w:r>
        <w:rPr>
          <w:rFonts w:cs="Tahoma"/>
        </w:rPr>
      </w:r>
      <w:r>
        <w:rPr>
          <w:rFonts w:cs="Tahoma"/>
        </w:rPr>
      </w:r>
    </w:p>
    <w:p>
      <w:pPr>
        <w:pStyle w:val="1_867"/>
        <w:pBdr/>
        <w:spacing w:line="276" w:lineRule="auto"/>
        <w:ind/>
        <w:jc w:val="both"/>
        <w:rPr/>
      </w:pPr>
      <w:r>
        <w:rPr>
          <w:rStyle w:val="1_866"/>
          <w:rFonts w:cs="Tahoma"/>
          <w:b/>
          <w:bCs/>
        </w:rPr>
        <w:t xml:space="preserve">§ 19</w:t>
      </w:r>
      <w:r>
        <w:rPr>
          <w:rStyle w:val="1_866"/>
          <w:rFonts w:cs="Tahoma"/>
        </w:rPr>
        <w:t xml:space="preserve">. Wydział Rachunkowości Budżetowej w zakresie kontroli wydatkowania dotacji pod względem rachunkowym.</w:t>
      </w:r>
      <w:r/>
      <w:r/>
    </w:p>
    <w:p>
      <w:pPr>
        <w:pStyle w:val="1_867"/>
        <w:pBdr/>
        <w:spacing w:line="276" w:lineRule="auto"/>
        <w:ind/>
        <w:jc w:val="both"/>
        <w:rPr>
          <w:b/>
          <w:bCs/>
        </w:rPr>
      </w:pPr>
      <w:r>
        <w:rPr>
          <w:b/>
          <w:bCs/>
        </w:rPr>
      </w:r>
      <w:r>
        <w:rPr>
          <w:b/>
          <w:bCs/>
        </w:rPr>
      </w:r>
      <w:r>
        <w:rPr>
          <w:b/>
          <w:bCs/>
        </w:rPr>
      </w:r>
    </w:p>
    <w:p>
      <w:pPr>
        <w:pStyle w:val="1_867"/>
        <w:pBdr/>
        <w:spacing w:line="276" w:lineRule="auto"/>
        <w:ind/>
        <w:jc w:val="both"/>
        <w:rPr>
          <w:rFonts w:cs="Times New Roman"/>
          <w:b/>
          <w:bCs/>
          <w:sz w:val="26"/>
          <w:szCs w:val="26"/>
        </w:rPr>
      </w:pPr>
      <w:r>
        <w:rPr>
          <w:rFonts w:cs="Times New Roman"/>
          <w:b/>
          <w:bCs/>
          <w:sz w:val="26"/>
          <w:szCs w:val="26"/>
        </w:rPr>
        <w:t xml:space="preserve">Rozdział VIII. Sposób oceny realizacji programu</w:t>
      </w:r>
      <w:r>
        <w:rPr>
          <w:rFonts w:cs="Times New Roman"/>
          <w:b/>
          <w:bCs/>
          <w:sz w:val="26"/>
          <w:szCs w:val="26"/>
        </w:rPr>
      </w:r>
      <w:r>
        <w:rPr>
          <w:rFonts w:cs="Times New Roman"/>
          <w:b/>
          <w:bCs/>
          <w:sz w:val="26"/>
          <w:szCs w:val="26"/>
        </w:rPr>
      </w:r>
    </w:p>
    <w:p>
      <w:pPr>
        <w:pStyle w:val="1_867"/>
        <w:pBdr/>
        <w:spacing w:line="276" w:lineRule="auto"/>
        <w:ind/>
        <w:jc w:val="both"/>
        <w:rPr>
          <w:b/>
          <w:bCs/>
        </w:rPr>
      </w:pPr>
      <w:r>
        <w:rPr>
          <w:b/>
          <w:bCs/>
        </w:rPr>
      </w:r>
      <w:r>
        <w:rPr>
          <w:b/>
          <w:bCs/>
        </w:rPr>
      </w:r>
      <w:r>
        <w:rPr>
          <w:b/>
          <w:bCs/>
        </w:rPr>
      </w:r>
    </w:p>
    <w:p>
      <w:pPr>
        <w:pStyle w:val="1_867"/>
        <w:pBdr/>
        <w:spacing w:line="276" w:lineRule="auto"/>
        <w:ind/>
        <w:jc w:val="both"/>
        <w:rPr/>
      </w:pPr>
      <w:r>
        <w:rPr>
          <w:rStyle w:val="1_866"/>
          <w:rFonts w:cs="Times New Roman"/>
          <w:b/>
          <w:bCs/>
        </w:rPr>
        <w:t xml:space="preserve">§ 20.</w:t>
      </w:r>
      <w:r>
        <w:rPr>
          <w:rStyle w:val="1_866"/>
          <w:rFonts w:cs="Times New Roman"/>
        </w:rPr>
        <w:t xml:space="preserve">1. Sprawozdanie z realizacji programu przygotują i przedstawią Burmistrzowi Miasta komórki merytoryczne odpowiedzialne za realizację programu.</w:t>
      </w:r>
      <w:r/>
      <w:r/>
    </w:p>
    <w:p>
      <w:pPr>
        <w:pStyle w:val="1_867"/>
        <w:pBdr/>
        <w:spacing w:line="276" w:lineRule="auto"/>
        <w:ind/>
        <w:jc w:val="both"/>
        <w:rPr/>
      </w:pPr>
      <w:r>
        <w:rPr>
          <w:rStyle w:val="1_866"/>
          <w:rFonts w:cs="Times New Roman"/>
        </w:rPr>
        <w:t xml:space="preserve">2. Sprawozdanie z realizacji programu za 2024 rok Burmistrz Miasta Pionki przedstawi Radzie </w:t>
      </w:r>
      <w:r>
        <w:rPr>
          <w:rStyle w:val="1_866"/>
          <w:rFonts w:cs="Times New Roman"/>
        </w:rPr>
        <w:t xml:space="preserve">Miasta Pionki w terminie do dnia </w:t>
      </w:r>
      <w:r>
        <w:rPr>
          <w:rStyle w:val="1_866"/>
          <w:rFonts w:cs="Times New Roman"/>
          <w:b/>
          <w:bCs/>
        </w:rPr>
        <w:t xml:space="preserve">31 maja 2025 roku.</w:t>
      </w:r>
      <w:r/>
      <w:r/>
    </w:p>
    <w:p>
      <w:pPr>
        <w:pStyle w:val="1_867"/>
        <w:pBdr/>
        <w:spacing w:line="276" w:lineRule="auto"/>
        <w:ind/>
        <w:jc w:val="both"/>
        <w:rPr/>
      </w:pPr>
      <w:r>
        <w:rPr>
          <w:rStyle w:val="1_866"/>
          <w:rFonts w:cs="Times New Roman"/>
        </w:rPr>
        <w:t xml:space="preserve">3. Sprawozdanie o którym mowa w ust. 20 pkt. 1 i pkt. 2 zostanie umieszczone na stronie Biuletynu Informacji Publicznej urzędu </w:t>
      </w:r>
      <w:r>
        <w:t xml:space="preserve">w zakładce: Ogłoszenia – Organizacje pozarządowe oraz na stronie internetowej urzędu</w:t>
      </w:r>
      <w:r>
        <w:rPr>
          <w:rStyle w:val="1_866"/>
          <w:rFonts w:cs="Times New Roman"/>
        </w:rPr>
        <w:t xml:space="preserve">.</w:t>
      </w:r>
      <w:r/>
      <w:r/>
    </w:p>
    <w:p>
      <w:pPr>
        <w:pStyle w:val="1_867"/>
        <w:pBdr/>
        <w:spacing w:line="276" w:lineRule="auto"/>
        <w:ind/>
        <w:jc w:val="both"/>
        <w:rPr>
          <w:rFonts w:cs="Times New Roman"/>
        </w:rPr>
      </w:pPr>
      <w:r>
        <w:rPr>
          <w:rFonts w:cs="Times New Roman"/>
        </w:rPr>
      </w:r>
      <w:r>
        <w:rPr>
          <w:rFonts w:cs="Times New Roman"/>
        </w:rPr>
      </w:r>
      <w:r>
        <w:rPr>
          <w:rFonts w:cs="Times New Roman"/>
        </w:rPr>
      </w:r>
    </w:p>
    <w:p>
      <w:pPr>
        <w:pBdr/>
        <w:spacing/>
        <w:ind/>
        <w:rPr/>
      </w:pPr>
      <w:r/>
      <w:r/>
    </w:p>
    <w:sectPr>
      <w:footnotePr/>
      <w:endnotePr/>
      <w:type w:val="nextPage"/>
      <w:pgSz w:h="16838" w:orient="portrait" w:w="11906"/>
      <w:pgMar w:top="1134" w:right="1134" w:bottom="1134" w:left="1134" w:header="709" w:footer="709" w:gutter="0"/>
      <w:cols w:num="1" w:sep="0" w:space="708"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r>
        <w:separator/>
      </w:r>
      <w:r/>
    </w:p>
  </w:endnote>
  <w:endnote w:type="continuationSeparator" w:id="0">
    <w:p>
      <w:pPr>
        <w:pBdr/>
        <w:spacing w:after="0" w:line="240" w:lineRule="auto"/>
        <w:ind/>
        <w:rPr/>
      </w:pPr>
      <w: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font>
  <w:font w:name="Symbol">
    <w:panose1 w:val="05050102010706020507"/>
  </w:font>
  <w:font w:name="Mangal">
    <w:panose1 w:val="02040503050406030204"/>
  </w:font>
  <w:font w:name="Times New Roman">
    <w:panose1 w:val="02020603050405020304"/>
  </w:font>
  <w:font w:name="Arial Unicode MS">
    <w:panose1 w:val="020B0604020202020204"/>
  </w:font>
  <w:font w:name="Arial">
    <w:panose1 w:val="020B0604020202020204"/>
  </w:font>
  <w:font w:name="Calibri">
    <w:panose1 w:val="020F050202020403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r>
        <w:separator/>
      </w:r>
      <w:r/>
    </w:p>
  </w:footnote>
  <w:footnote w:type="continuationSeparator" w:id="0">
    <w:p>
      <w:pPr>
        <w:pBdr/>
        <w:spacing w:after="0" w:line="240" w:lineRule="auto"/>
        <w:ind/>
        <w:rPr/>
      </w:pPr>
      <w:r/>
      <w:r>
        <w:continuationSeparator/>
      </w: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lvl w:ilvl="0">
      <w:isLgl w:val="false"/>
      <w:lvlJc w:val="left"/>
      <w:lvlText w:val=""/>
      <w:numFmt w:val="bullet"/>
      <w:pPr>
        <w:pBdr/>
        <w:spacing/>
        <w:ind w:hanging="360" w:left="720"/>
      </w:pPr>
      <w:rPr>
        <w:rFonts w:ascii="Symbol" w:hAnsi="Symbol" w:eastAsia="Symbol" w:cs="Symbol"/>
      </w:rPr>
      <w:start w:val="0"/>
      <w:suff w:val="tab"/>
    </w:lvl>
    <w:lvl w:ilvl="1">
      <w:isLgl w:val="false"/>
      <w:lvlJc w:val="left"/>
      <w:lvlText w:val=""/>
      <w:numFmt w:val="bullet"/>
      <w:pPr>
        <w:pBdr/>
        <w:spacing/>
        <w:ind w:hanging="360" w:left="1080"/>
      </w:pPr>
      <w:rPr>
        <w:rFonts w:ascii="Symbol" w:hAnsi="Symbol" w:eastAsia="Symbol" w:cs="Symbol"/>
      </w:rPr>
      <w:start w:val="0"/>
      <w:suff w:val="tab"/>
    </w:lvl>
    <w:lvl w:ilvl="2">
      <w:isLgl w:val="false"/>
      <w:lvlJc w:val="left"/>
      <w:lvlText w:val=""/>
      <w:numFmt w:val="bullet"/>
      <w:pPr>
        <w:pBdr/>
        <w:spacing/>
        <w:ind w:hanging="360" w:left="1440"/>
      </w:pPr>
      <w:rPr>
        <w:rFonts w:ascii="Symbol" w:hAnsi="Symbol" w:eastAsia="Symbol" w:cs="Symbol"/>
      </w:rPr>
      <w:start w:val="0"/>
      <w:suff w:val="tab"/>
    </w:lvl>
    <w:lvl w:ilvl="3">
      <w:isLgl w:val="false"/>
      <w:lvlJc w:val="left"/>
      <w:lvlText w:val=""/>
      <w:numFmt w:val="bullet"/>
      <w:pPr>
        <w:pBdr/>
        <w:spacing/>
        <w:ind w:hanging="360" w:left="1800"/>
      </w:pPr>
      <w:rPr>
        <w:rFonts w:ascii="Symbol" w:hAnsi="Symbol" w:eastAsia="Symbol" w:cs="Symbol"/>
      </w:rPr>
      <w:start w:val="0"/>
      <w:suff w:val="tab"/>
    </w:lvl>
    <w:lvl w:ilvl="4">
      <w:isLgl w:val="false"/>
      <w:lvlJc w:val="left"/>
      <w:lvlText w:val=""/>
      <w:numFmt w:val="bullet"/>
      <w:pPr>
        <w:pBdr/>
        <w:spacing/>
        <w:ind w:hanging="360" w:left="2160"/>
      </w:pPr>
      <w:rPr>
        <w:rFonts w:ascii="Symbol" w:hAnsi="Symbol" w:eastAsia="Symbol" w:cs="Symbol"/>
      </w:rPr>
      <w:start w:val="0"/>
      <w:suff w:val="tab"/>
    </w:lvl>
    <w:lvl w:ilvl="5">
      <w:isLgl w:val="false"/>
      <w:lvlJc w:val="left"/>
      <w:lvlText w:val=""/>
      <w:numFmt w:val="bullet"/>
      <w:pPr>
        <w:pBdr/>
        <w:spacing/>
        <w:ind w:hanging="360" w:left="2520"/>
      </w:pPr>
      <w:rPr>
        <w:rFonts w:ascii="Symbol" w:hAnsi="Symbol" w:eastAsia="Symbol" w:cs="Symbol"/>
      </w:rPr>
      <w:start w:val="0"/>
      <w:suff w:val="tab"/>
    </w:lvl>
    <w:lvl w:ilvl="6">
      <w:isLgl w:val="false"/>
      <w:lvlJc w:val="left"/>
      <w:lvlText w:val=""/>
      <w:numFmt w:val="bullet"/>
      <w:pPr>
        <w:pBdr/>
        <w:spacing/>
        <w:ind w:hanging="360" w:left="2880"/>
      </w:pPr>
      <w:rPr>
        <w:rFonts w:ascii="Symbol" w:hAnsi="Symbol" w:eastAsia="Symbol" w:cs="Symbol"/>
      </w:rPr>
      <w:start w:val="0"/>
      <w:suff w:val="tab"/>
    </w:lvl>
    <w:lvl w:ilvl="7">
      <w:isLgl w:val="false"/>
      <w:lvlJc w:val="left"/>
      <w:lvlText w:val=""/>
      <w:numFmt w:val="bullet"/>
      <w:pPr>
        <w:pBdr/>
        <w:spacing/>
        <w:ind w:hanging="360" w:left="3240"/>
      </w:pPr>
      <w:rPr>
        <w:rFonts w:ascii="Symbol" w:hAnsi="Symbol" w:eastAsia="Symbol" w:cs="Symbol"/>
      </w:rPr>
      <w:start w:val="0"/>
      <w:suff w:val="tab"/>
    </w:lvl>
    <w:lvl w:ilvl="8">
      <w:isLgl w:val="false"/>
      <w:lvlJc w:val="left"/>
      <w:lvlText w:val=""/>
      <w:numFmt w:val="bullet"/>
      <w:pPr>
        <w:pBdr/>
        <w:spacing/>
        <w:ind w:hanging="360" w:left="3600"/>
      </w:pPr>
      <w:rPr>
        <w:rFonts w:ascii="Symbol" w:hAnsi="Symbol" w:eastAsia="Symbol" w:cs="Symbol"/>
      </w:rPr>
      <w:start w:val="0"/>
      <w:suff w:val="tab"/>
    </w:lvl>
  </w:abstractNum>
  <w:abstractNum w:abstractNumId="1">
    <w:lvl w:ilvl="0">
      <w:isLgl w:val="false"/>
      <w:lvlJc w:val="left"/>
      <w:lvlText w:val=""/>
      <w:numFmt w:val="bullet"/>
      <w:pPr>
        <w:pBdr/>
        <w:spacing/>
        <w:ind w:hanging="360" w:left="720"/>
      </w:pPr>
      <w:rPr>
        <w:rFonts w:ascii="Symbol" w:hAnsi="Symbol" w:eastAsia="Symbol" w:cs="Symbol"/>
      </w:rPr>
      <w:start w:val="0"/>
      <w:suff w:val="tab"/>
    </w:lvl>
    <w:lvl w:ilvl="1">
      <w:isLgl w:val="false"/>
      <w:lvlJc w:val="left"/>
      <w:lvlText w:val=""/>
      <w:numFmt w:val="bullet"/>
      <w:pPr>
        <w:pBdr/>
        <w:spacing/>
        <w:ind w:hanging="360" w:left="1080"/>
      </w:pPr>
      <w:rPr>
        <w:rFonts w:ascii="Symbol" w:hAnsi="Symbol" w:eastAsia="Symbol" w:cs="Symbol"/>
      </w:rPr>
      <w:start w:val="0"/>
      <w:suff w:val="tab"/>
    </w:lvl>
    <w:lvl w:ilvl="2">
      <w:isLgl w:val="false"/>
      <w:lvlJc w:val="left"/>
      <w:lvlText w:val=""/>
      <w:numFmt w:val="bullet"/>
      <w:pPr>
        <w:pBdr/>
        <w:spacing/>
        <w:ind w:hanging="360" w:left="1440"/>
      </w:pPr>
      <w:rPr>
        <w:rFonts w:ascii="Symbol" w:hAnsi="Symbol" w:eastAsia="Symbol" w:cs="Symbol"/>
      </w:rPr>
      <w:start w:val="0"/>
      <w:suff w:val="tab"/>
    </w:lvl>
    <w:lvl w:ilvl="3">
      <w:isLgl w:val="false"/>
      <w:lvlJc w:val="left"/>
      <w:lvlText w:val=""/>
      <w:numFmt w:val="bullet"/>
      <w:pPr>
        <w:pBdr/>
        <w:spacing/>
        <w:ind w:hanging="360" w:left="1800"/>
      </w:pPr>
      <w:rPr>
        <w:rFonts w:ascii="Symbol" w:hAnsi="Symbol" w:eastAsia="Symbol" w:cs="Symbol"/>
      </w:rPr>
      <w:start w:val="0"/>
      <w:suff w:val="tab"/>
    </w:lvl>
    <w:lvl w:ilvl="4">
      <w:isLgl w:val="false"/>
      <w:lvlJc w:val="left"/>
      <w:lvlText w:val=""/>
      <w:numFmt w:val="bullet"/>
      <w:pPr>
        <w:pBdr/>
        <w:spacing/>
        <w:ind w:hanging="360" w:left="2160"/>
      </w:pPr>
      <w:rPr>
        <w:rFonts w:ascii="Symbol" w:hAnsi="Symbol" w:eastAsia="Symbol" w:cs="Symbol"/>
      </w:rPr>
      <w:start w:val="0"/>
      <w:suff w:val="tab"/>
    </w:lvl>
    <w:lvl w:ilvl="5">
      <w:isLgl w:val="false"/>
      <w:lvlJc w:val="left"/>
      <w:lvlText w:val=""/>
      <w:numFmt w:val="bullet"/>
      <w:pPr>
        <w:pBdr/>
        <w:spacing/>
        <w:ind w:hanging="360" w:left="2520"/>
      </w:pPr>
      <w:rPr>
        <w:rFonts w:ascii="Symbol" w:hAnsi="Symbol" w:eastAsia="Symbol" w:cs="Symbol"/>
      </w:rPr>
      <w:start w:val="0"/>
      <w:suff w:val="tab"/>
    </w:lvl>
    <w:lvl w:ilvl="6">
      <w:isLgl w:val="false"/>
      <w:lvlJc w:val="left"/>
      <w:lvlText w:val=""/>
      <w:numFmt w:val="bullet"/>
      <w:pPr>
        <w:pBdr/>
        <w:spacing/>
        <w:ind w:hanging="360" w:left="2880"/>
      </w:pPr>
      <w:rPr>
        <w:rFonts w:ascii="Symbol" w:hAnsi="Symbol" w:eastAsia="Symbol" w:cs="Symbol"/>
      </w:rPr>
      <w:start w:val="0"/>
      <w:suff w:val="tab"/>
    </w:lvl>
    <w:lvl w:ilvl="7">
      <w:isLgl w:val="false"/>
      <w:lvlJc w:val="left"/>
      <w:lvlText w:val=""/>
      <w:numFmt w:val="bullet"/>
      <w:pPr>
        <w:pBdr/>
        <w:spacing/>
        <w:ind w:hanging="360" w:left="3240"/>
      </w:pPr>
      <w:rPr>
        <w:rFonts w:ascii="Symbol" w:hAnsi="Symbol" w:eastAsia="Symbol" w:cs="Symbol"/>
      </w:rPr>
      <w:start w:val="0"/>
      <w:suff w:val="tab"/>
    </w:lvl>
    <w:lvl w:ilvl="8">
      <w:isLgl w:val="false"/>
      <w:lvlJc w:val="left"/>
      <w:lvlText w:val=""/>
      <w:numFmt w:val="bullet"/>
      <w:pPr>
        <w:pBdr/>
        <w:spacing/>
        <w:ind w:hanging="360" w:left="3600"/>
      </w:pPr>
      <w:rPr>
        <w:rFonts w:ascii="Symbol" w:hAnsi="Symbol" w:eastAsia="Symbol" w:cs="Symbol"/>
      </w:rPr>
      <w:start w:val="0"/>
      <w:suff w:val="tab"/>
    </w:lvl>
  </w:abstractNum>
  <w:abstractNum w:abstractNumId="2">
    <w:lvl w:ilvl="0">
      <w:isLgl w:val="false"/>
      <w:lvlJc w:val="left"/>
      <w:lvlText w:val=""/>
      <w:numFmt w:val="bullet"/>
      <w:pPr>
        <w:pBdr/>
        <w:spacing/>
        <w:ind w:hanging="360" w:left="720"/>
      </w:pPr>
      <w:rPr>
        <w:rFonts w:ascii="Symbol" w:hAnsi="Symbol" w:eastAsia="Symbol" w:cs="Symbol"/>
      </w:rPr>
      <w:start w:val="0"/>
      <w:suff w:val="tab"/>
    </w:lvl>
    <w:lvl w:ilvl="1">
      <w:isLgl w:val="false"/>
      <w:lvlJc w:val="left"/>
      <w:lvlText w:val=""/>
      <w:numFmt w:val="bullet"/>
      <w:pPr>
        <w:pBdr/>
        <w:spacing/>
        <w:ind w:hanging="360" w:left="1080"/>
      </w:pPr>
      <w:rPr>
        <w:rFonts w:ascii="Symbol" w:hAnsi="Symbol" w:eastAsia="Symbol" w:cs="Symbol"/>
      </w:rPr>
      <w:start w:val="0"/>
      <w:suff w:val="tab"/>
    </w:lvl>
    <w:lvl w:ilvl="2">
      <w:isLgl w:val="false"/>
      <w:lvlJc w:val="left"/>
      <w:lvlText w:val=""/>
      <w:numFmt w:val="bullet"/>
      <w:pPr>
        <w:pBdr/>
        <w:spacing/>
        <w:ind w:hanging="360" w:left="1440"/>
      </w:pPr>
      <w:rPr>
        <w:rFonts w:ascii="Symbol" w:hAnsi="Symbol" w:eastAsia="Symbol" w:cs="Symbol"/>
      </w:rPr>
      <w:start w:val="0"/>
      <w:suff w:val="tab"/>
    </w:lvl>
    <w:lvl w:ilvl="3">
      <w:isLgl w:val="false"/>
      <w:lvlJc w:val="left"/>
      <w:lvlText w:val=""/>
      <w:numFmt w:val="bullet"/>
      <w:pPr>
        <w:pBdr/>
        <w:spacing/>
        <w:ind w:hanging="360" w:left="1800"/>
      </w:pPr>
      <w:rPr>
        <w:rFonts w:ascii="Symbol" w:hAnsi="Symbol" w:eastAsia="Symbol" w:cs="Symbol"/>
      </w:rPr>
      <w:start w:val="0"/>
      <w:suff w:val="tab"/>
    </w:lvl>
    <w:lvl w:ilvl="4">
      <w:isLgl w:val="false"/>
      <w:lvlJc w:val="left"/>
      <w:lvlText w:val=""/>
      <w:numFmt w:val="bullet"/>
      <w:pPr>
        <w:pBdr/>
        <w:spacing/>
        <w:ind w:hanging="360" w:left="2160"/>
      </w:pPr>
      <w:rPr>
        <w:rFonts w:ascii="Symbol" w:hAnsi="Symbol" w:eastAsia="Symbol" w:cs="Symbol"/>
      </w:rPr>
      <w:start w:val="0"/>
      <w:suff w:val="tab"/>
    </w:lvl>
    <w:lvl w:ilvl="5">
      <w:isLgl w:val="false"/>
      <w:lvlJc w:val="left"/>
      <w:lvlText w:val=""/>
      <w:numFmt w:val="bullet"/>
      <w:pPr>
        <w:pBdr/>
        <w:spacing/>
        <w:ind w:hanging="360" w:left="2520"/>
      </w:pPr>
      <w:rPr>
        <w:rFonts w:ascii="Symbol" w:hAnsi="Symbol" w:eastAsia="Symbol" w:cs="Symbol"/>
      </w:rPr>
      <w:start w:val="0"/>
      <w:suff w:val="tab"/>
    </w:lvl>
    <w:lvl w:ilvl="6">
      <w:isLgl w:val="false"/>
      <w:lvlJc w:val="left"/>
      <w:lvlText w:val=""/>
      <w:numFmt w:val="bullet"/>
      <w:pPr>
        <w:pBdr/>
        <w:spacing/>
        <w:ind w:hanging="360" w:left="2880"/>
      </w:pPr>
      <w:rPr>
        <w:rFonts w:ascii="Symbol" w:hAnsi="Symbol" w:eastAsia="Symbol" w:cs="Symbol"/>
      </w:rPr>
      <w:start w:val="0"/>
      <w:suff w:val="tab"/>
    </w:lvl>
    <w:lvl w:ilvl="7">
      <w:isLgl w:val="false"/>
      <w:lvlJc w:val="left"/>
      <w:lvlText w:val=""/>
      <w:numFmt w:val="bullet"/>
      <w:pPr>
        <w:pBdr/>
        <w:spacing/>
        <w:ind w:hanging="360" w:left="3240"/>
      </w:pPr>
      <w:rPr>
        <w:rFonts w:ascii="Symbol" w:hAnsi="Symbol" w:eastAsia="Symbol" w:cs="Symbol"/>
      </w:rPr>
      <w:start w:val="0"/>
      <w:suff w:val="tab"/>
    </w:lvl>
    <w:lvl w:ilvl="8">
      <w:isLgl w:val="false"/>
      <w:lvlJc w:val="left"/>
      <w:lvlText w:val=""/>
      <w:numFmt w:val="bullet"/>
      <w:pPr>
        <w:pBdr/>
        <w:spacing/>
        <w:ind w:hanging="360" w:left="3600"/>
      </w:pPr>
      <w:rPr>
        <w:rFonts w:ascii="Symbol" w:hAnsi="Symbol" w:eastAsia="Symbol" w:cs="Symbol"/>
      </w:rPr>
      <w:start w:val="0"/>
      <w:suff w:val="tab"/>
    </w:lvl>
  </w:abstractNum>
  <w:abstractNum w:abstractNumId="3">
    <w:lvl w:ilvl="0">
      <w:isLgl w:val="false"/>
      <w:lvlJc w:val="left"/>
      <w:lvlText w:val=""/>
      <w:numFmt w:val="bullet"/>
      <w:pPr>
        <w:pBdr/>
        <w:spacing/>
        <w:ind w:hanging="360" w:left="720"/>
      </w:pPr>
      <w:rPr>
        <w:rFonts w:ascii="Symbol" w:hAnsi="Symbol" w:eastAsia="Symbol" w:cs="Symbol"/>
      </w:rPr>
      <w:start w:val="0"/>
      <w:suff w:val="tab"/>
    </w:lvl>
    <w:lvl w:ilvl="1">
      <w:isLgl w:val="false"/>
      <w:lvlJc w:val="left"/>
      <w:lvlText w:val=""/>
      <w:numFmt w:val="bullet"/>
      <w:pPr>
        <w:pBdr/>
        <w:spacing/>
        <w:ind w:hanging="360" w:left="1080"/>
      </w:pPr>
      <w:rPr>
        <w:rFonts w:ascii="Symbol" w:hAnsi="Symbol" w:eastAsia="Symbol" w:cs="Symbol"/>
      </w:rPr>
      <w:start w:val="0"/>
      <w:suff w:val="tab"/>
    </w:lvl>
    <w:lvl w:ilvl="2">
      <w:isLgl w:val="false"/>
      <w:lvlJc w:val="left"/>
      <w:lvlText w:val=""/>
      <w:numFmt w:val="bullet"/>
      <w:pPr>
        <w:pBdr/>
        <w:spacing/>
        <w:ind w:hanging="360" w:left="1440"/>
      </w:pPr>
      <w:rPr>
        <w:rFonts w:ascii="Symbol" w:hAnsi="Symbol" w:eastAsia="Symbol" w:cs="Symbol"/>
      </w:rPr>
      <w:start w:val="0"/>
      <w:suff w:val="tab"/>
    </w:lvl>
    <w:lvl w:ilvl="3">
      <w:isLgl w:val="false"/>
      <w:lvlJc w:val="left"/>
      <w:lvlText w:val=""/>
      <w:numFmt w:val="bullet"/>
      <w:pPr>
        <w:pBdr/>
        <w:spacing/>
        <w:ind w:hanging="360" w:left="1800"/>
      </w:pPr>
      <w:rPr>
        <w:rFonts w:ascii="Symbol" w:hAnsi="Symbol" w:eastAsia="Symbol" w:cs="Symbol"/>
      </w:rPr>
      <w:start w:val="0"/>
      <w:suff w:val="tab"/>
    </w:lvl>
    <w:lvl w:ilvl="4">
      <w:isLgl w:val="false"/>
      <w:lvlJc w:val="left"/>
      <w:lvlText w:val=""/>
      <w:numFmt w:val="bullet"/>
      <w:pPr>
        <w:pBdr/>
        <w:spacing/>
        <w:ind w:hanging="360" w:left="2160"/>
      </w:pPr>
      <w:rPr>
        <w:rFonts w:ascii="Symbol" w:hAnsi="Symbol" w:eastAsia="Symbol" w:cs="Symbol"/>
      </w:rPr>
      <w:start w:val="0"/>
      <w:suff w:val="tab"/>
    </w:lvl>
    <w:lvl w:ilvl="5">
      <w:isLgl w:val="false"/>
      <w:lvlJc w:val="left"/>
      <w:lvlText w:val=""/>
      <w:numFmt w:val="bullet"/>
      <w:pPr>
        <w:pBdr/>
        <w:spacing/>
        <w:ind w:hanging="360" w:left="2520"/>
      </w:pPr>
      <w:rPr>
        <w:rFonts w:ascii="Symbol" w:hAnsi="Symbol" w:eastAsia="Symbol" w:cs="Symbol"/>
      </w:rPr>
      <w:start w:val="0"/>
      <w:suff w:val="tab"/>
    </w:lvl>
    <w:lvl w:ilvl="6">
      <w:isLgl w:val="false"/>
      <w:lvlJc w:val="left"/>
      <w:lvlText w:val=""/>
      <w:numFmt w:val="bullet"/>
      <w:pPr>
        <w:pBdr/>
        <w:spacing/>
        <w:ind w:hanging="360" w:left="2880"/>
      </w:pPr>
      <w:rPr>
        <w:rFonts w:ascii="Symbol" w:hAnsi="Symbol" w:eastAsia="Symbol" w:cs="Symbol"/>
      </w:rPr>
      <w:start w:val="0"/>
      <w:suff w:val="tab"/>
    </w:lvl>
    <w:lvl w:ilvl="7">
      <w:isLgl w:val="false"/>
      <w:lvlJc w:val="left"/>
      <w:lvlText w:val=""/>
      <w:numFmt w:val="bullet"/>
      <w:pPr>
        <w:pBdr/>
        <w:spacing/>
        <w:ind w:hanging="360" w:left="3240"/>
      </w:pPr>
      <w:rPr>
        <w:rFonts w:ascii="Symbol" w:hAnsi="Symbol" w:eastAsia="Symbol" w:cs="Symbol"/>
      </w:rPr>
      <w:start w:val="0"/>
      <w:suff w:val="tab"/>
    </w:lvl>
    <w:lvl w:ilvl="8">
      <w:isLgl w:val="false"/>
      <w:lvlJc w:val="left"/>
      <w:lvlText w:val=""/>
      <w:numFmt w:val="bullet"/>
      <w:pPr>
        <w:pBdr/>
        <w:spacing/>
        <w:ind w:hanging="360" w:left="3600"/>
      </w:pPr>
      <w:rPr>
        <w:rFonts w:ascii="Symbol" w:hAnsi="Symbol" w:eastAsia="Symbol" w:cs="Symbol"/>
      </w:rPr>
      <w:start w:val="0"/>
      <w:suff w:val="tab"/>
    </w:lvl>
  </w:abstractNum>
  <w:abstractNum w:abstractNumId="4">
    <w:lvl w:ilvl="0">
      <w:isLgl w:val="false"/>
      <w:lvlJc w:val="left"/>
      <w:lvlText w:val=""/>
      <w:numFmt w:val="bullet"/>
      <w:pPr>
        <w:pBdr/>
        <w:spacing/>
        <w:ind w:hanging="360" w:left="720"/>
      </w:pPr>
      <w:rPr>
        <w:rFonts w:ascii="Symbol" w:hAnsi="Symbol" w:eastAsia="Symbol" w:cs="Symbol"/>
      </w:rPr>
      <w:start w:val="0"/>
      <w:suff w:val="tab"/>
    </w:lvl>
    <w:lvl w:ilvl="1">
      <w:isLgl w:val="false"/>
      <w:lvlJc w:val="left"/>
      <w:lvlText w:val=""/>
      <w:numFmt w:val="bullet"/>
      <w:pPr>
        <w:pBdr/>
        <w:spacing/>
        <w:ind w:hanging="360" w:left="1080"/>
      </w:pPr>
      <w:rPr>
        <w:rFonts w:ascii="Symbol" w:hAnsi="Symbol" w:eastAsia="Symbol" w:cs="Symbol"/>
      </w:rPr>
      <w:start w:val="0"/>
      <w:suff w:val="tab"/>
    </w:lvl>
    <w:lvl w:ilvl="2">
      <w:isLgl w:val="false"/>
      <w:lvlJc w:val="left"/>
      <w:lvlText w:val=""/>
      <w:numFmt w:val="bullet"/>
      <w:pPr>
        <w:pBdr/>
        <w:spacing/>
        <w:ind w:hanging="360" w:left="1440"/>
      </w:pPr>
      <w:rPr>
        <w:rFonts w:ascii="Symbol" w:hAnsi="Symbol" w:eastAsia="Symbol" w:cs="Symbol"/>
      </w:rPr>
      <w:start w:val="0"/>
      <w:suff w:val="tab"/>
    </w:lvl>
    <w:lvl w:ilvl="3">
      <w:isLgl w:val="false"/>
      <w:lvlJc w:val="left"/>
      <w:lvlText w:val=""/>
      <w:numFmt w:val="bullet"/>
      <w:pPr>
        <w:pBdr/>
        <w:spacing/>
        <w:ind w:hanging="360" w:left="1800"/>
      </w:pPr>
      <w:rPr>
        <w:rFonts w:ascii="Symbol" w:hAnsi="Symbol" w:eastAsia="Symbol" w:cs="Symbol"/>
      </w:rPr>
      <w:start w:val="0"/>
      <w:suff w:val="tab"/>
    </w:lvl>
    <w:lvl w:ilvl="4">
      <w:isLgl w:val="false"/>
      <w:lvlJc w:val="left"/>
      <w:lvlText w:val=""/>
      <w:numFmt w:val="bullet"/>
      <w:pPr>
        <w:pBdr/>
        <w:spacing/>
        <w:ind w:hanging="360" w:left="2160"/>
      </w:pPr>
      <w:rPr>
        <w:rFonts w:ascii="Symbol" w:hAnsi="Symbol" w:eastAsia="Symbol" w:cs="Symbol"/>
      </w:rPr>
      <w:start w:val="0"/>
      <w:suff w:val="tab"/>
    </w:lvl>
    <w:lvl w:ilvl="5">
      <w:isLgl w:val="false"/>
      <w:lvlJc w:val="left"/>
      <w:lvlText w:val=""/>
      <w:numFmt w:val="bullet"/>
      <w:pPr>
        <w:pBdr/>
        <w:spacing/>
        <w:ind w:hanging="360" w:left="2520"/>
      </w:pPr>
      <w:rPr>
        <w:rFonts w:ascii="Symbol" w:hAnsi="Symbol" w:eastAsia="Symbol" w:cs="Symbol"/>
      </w:rPr>
      <w:start w:val="0"/>
      <w:suff w:val="tab"/>
    </w:lvl>
    <w:lvl w:ilvl="6">
      <w:isLgl w:val="false"/>
      <w:lvlJc w:val="left"/>
      <w:lvlText w:val=""/>
      <w:numFmt w:val="bullet"/>
      <w:pPr>
        <w:pBdr/>
        <w:spacing/>
        <w:ind w:hanging="360" w:left="2880"/>
      </w:pPr>
      <w:rPr>
        <w:rFonts w:ascii="Symbol" w:hAnsi="Symbol" w:eastAsia="Symbol" w:cs="Symbol"/>
      </w:rPr>
      <w:start w:val="0"/>
      <w:suff w:val="tab"/>
    </w:lvl>
    <w:lvl w:ilvl="7">
      <w:isLgl w:val="false"/>
      <w:lvlJc w:val="left"/>
      <w:lvlText w:val=""/>
      <w:numFmt w:val="bullet"/>
      <w:pPr>
        <w:pBdr/>
        <w:spacing/>
        <w:ind w:hanging="360" w:left="3240"/>
      </w:pPr>
      <w:rPr>
        <w:rFonts w:ascii="Symbol" w:hAnsi="Symbol" w:eastAsia="Symbol" w:cs="Symbol"/>
      </w:rPr>
      <w:start w:val="0"/>
      <w:suff w:val="tab"/>
    </w:lvl>
    <w:lvl w:ilvl="8">
      <w:isLgl w:val="false"/>
      <w:lvlJc w:val="left"/>
      <w:lvlText w:val=""/>
      <w:numFmt w:val="bullet"/>
      <w:pPr>
        <w:pBdr/>
        <w:spacing/>
        <w:ind w:hanging="360" w:left="3600"/>
      </w:pPr>
      <w:rPr>
        <w:rFonts w:ascii="Symbol" w:hAnsi="Symbol" w:eastAsia="Symbol" w:cs="Symbol"/>
      </w:rPr>
      <w:start w:val="0"/>
      <w:suff w:val="tab"/>
    </w:lvl>
  </w:abstractNum>
  <w:abstractNum w:abstractNumId="5">
    <w:lvl w:ilvl="0">
      <w:isLgl w:val="false"/>
      <w:lvlJc w:val="left"/>
      <w:lvlText w:val=""/>
      <w:numFmt w:val="bullet"/>
      <w:pPr>
        <w:pBdr/>
        <w:spacing/>
        <w:ind w:hanging="360" w:left="720"/>
      </w:pPr>
      <w:rPr>
        <w:rFonts w:ascii="Symbol" w:hAnsi="Symbol" w:eastAsia="Symbol" w:cs="Symbol"/>
      </w:rPr>
      <w:start w:val="0"/>
      <w:suff w:val="tab"/>
    </w:lvl>
    <w:lvl w:ilvl="1">
      <w:isLgl w:val="false"/>
      <w:lvlJc w:val="left"/>
      <w:lvlText w:val=""/>
      <w:numFmt w:val="bullet"/>
      <w:pPr>
        <w:pBdr/>
        <w:spacing/>
        <w:ind w:hanging="360" w:left="1080"/>
      </w:pPr>
      <w:rPr>
        <w:rFonts w:ascii="Symbol" w:hAnsi="Symbol" w:eastAsia="Symbol" w:cs="Symbol"/>
      </w:rPr>
      <w:start w:val="0"/>
      <w:suff w:val="tab"/>
    </w:lvl>
    <w:lvl w:ilvl="2">
      <w:isLgl w:val="false"/>
      <w:lvlJc w:val="left"/>
      <w:lvlText w:val=""/>
      <w:numFmt w:val="bullet"/>
      <w:pPr>
        <w:pBdr/>
        <w:spacing/>
        <w:ind w:hanging="360" w:left="1440"/>
      </w:pPr>
      <w:rPr>
        <w:rFonts w:ascii="Symbol" w:hAnsi="Symbol" w:eastAsia="Symbol" w:cs="Symbol"/>
      </w:rPr>
      <w:start w:val="0"/>
      <w:suff w:val="tab"/>
    </w:lvl>
    <w:lvl w:ilvl="3">
      <w:isLgl w:val="false"/>
      <w:lvlJc w:val="left"/>
      <w:lvlText w:val=""/>
      <w:numFmt w:val="bullet"/>
      <w:pPr>
        <w:pBdr/>
        <w:spacing/>
        <w:ind w:hanging="360" w:left="1800"/>
      </w:pPr>
      <w:rPr>
        <w:rFonts w:ascii="Symbol" w:hAnsi="Symbol" w:eastAsia="Symbol" w:cs="Symbol"/>
      </w:rPr>
      <w:start w:val="0"/>
      <w:suff w:val="tab"/>
    </w:lvl>
    <w:lvl w:ilvl="4">
      <w:isLgl w:val="false"/>
      <w:lvlJc w:val="left"/>
      <w:lvlText w:val=""/>
      <w:numFmt w:val="bullet"/>
      <w:pPr>
        <w:pBdr/>
        <w:spacing/>
        <w:ind w:hanging="360" w:left="2160"/>
      </w:pPr>
      <w:rPr>
        <w:rFonts w:ascii="Symbol" w:hAnsi="Symbol" w:eastAsia="Symbol" w:cs="Symbol"/>
      </w:rPr>
      <w:start w:val="0"/>
      <w:suff w:val="tab"/>
    </w:lvl>
    <w:lvl w:ilvl="5">
      <w:isLgl w:val="false"/>
      <w:lvlJc w:val="left"/>
      <w:lvlText w:val=""/>
      <w:numFmt w:val="bullet"/>
      <w:pPr>
        <w:pBdr/>
        <w:spacing/>
        <w:ind w:hanging="360" w:left="2520"/>
      </w:pPr>
      <w:rPr>
        <w:rFonts w:ascii="Symbol" w:hAnsi="Symbol" w:eastAsia="Symbol" w:cs="Symbol"/>
      </w:rPr>
      <w:start w:val="0"/>
      <w:suff w:val="tab"/>
    </w:lvl>
    <w:lvl w:ilvl="6">
      <w:isLgl w:val="false"/>
      <w:lvlJc w:val="left"/>
      <w:lvlText w:val=""/>
      <w:numFmt w:val="bullet"/>
      <w:pPr>
        <w:pBdr/>
        <w:spacing/>
        <w:ind w:hanging="360" w:left="2880"/>
      </w:pPr>
      <w:rPr>
        <w:rFonts w:ascii="Symbol" w:hAnsi="Symbol" w:eastAsia="Symbol" w:cs="Symbol"/>
      </w:rPr>
      <w:start w:val="0"/>
      <w:suff w:val="tab"/>
    </w:lvl>
    <w:lvl w:ilvl="7">
      <w:isLgl w:val="false"/>
      <w:lvlJc w:val="left"/>
      <w:lvlText w:val=""/>
      <w:numFmt w:val="bullet"/>
      <w:pPr>
        <w:pBdr/>
        <w:spacing/>
        <w:ind w:hanging="360" w:left="3240"/>
      </w:pPr>
      <w:rPr>
        <w:rFonts w:ascii="Symbol" w:hAnsi="Symbol" w:eastAsia="Symbol" w:cs="Symbol"/>
      </w:rPr>
      <w:start w:val="0"/>
      <w:suff w:val="tab"/>
    </w:lvl>
    <w:lvl w:ilvl="8">
      <w:isLgl w:val="false"/>
      <w:lvlJc w:val="left"/>
      <w:lvlText w:val=""/>
      <w:numFmt w:val="bullet"/>
      <w:pPr>
        <w:pBdr/>
        <w:spacing/>
        <w:ind w:hanging="360" w:left="3600"/>
      </w:pPr>
      <w:rPr>
        <w:rFonts w:ascii="Symbol" w:hAnsi="Symbol" w:eastAsia="Symbol" w:cs="Symbol"/>
      </w:rPr>
      <w:start w:val="0"/>
      <w:suff w:val="tab"/>
    </w:lvl>
  </w:abstractNum>
  <w:abstractNum w:abstractNumId="6">
    <w:lvl w:ilvl="0">
      <w:isLgl w:val="false"/>
      <w:lvlJc w:val="left"/>
      <w:lvlText w:val=""/>
      <w:numFmt w:val="bullet"/>
      <w:pPr>
        <w:pBdr/>
        <w:spacing/>
        <w:ind w:hanging="360" w:left="720"/>
      </w:pPr>
      <w:rPr>
        <w:rFonts w:ascii="Symbol" w:hAnsi="Symbol" w:eastAsia="Symbol" w:cs="Symbol"/>
      </w:rPr>
      <w:start w:val="0"/>
      <w:suff w:val="tab"/>
    </w:lvl>
    <w:lvl w:ilvl="1">
      <w:isLgl w:val="false"/>
      <w:lvlJc w:val="left"/>
      <w:lvlText w:val=""/>
      <w:numFmt w:val="bullet"/>
      <w:pPr>
        <w:pBdr/>
        <w:spacing/>
        <w:ind w:hanging="360" w:left="1080"/>
      </w:pPr>
      <w:rPr>
        <w:rFonts w:ascii="Symbol" w:hAnsi="Symbol" w:eastAsia="Symbol" w:cs="Symbol"/>
      </w:rPr>
      <w:start w:val="0"/>
      <w:suff w:val="tab"/>
    </w:lvl>
    <w:lvl w:ilvl="2">
      <w:isLgl w:val="false"/>
      <w:lvlJc w:val="left"/>
      <w:lvlText w:val=""/>
      <w:numFmt w:val="bullet"/>
      <w:pPr>
        <w:pBdr/>
        <w:spacing/>
        <w:ind w:hanging="360" w:left="1440"/>
      </w:pPr>
      <w:rPr>
        <w:rFonts w:ascii="Symbol" w:hAnsi="Symbol" w:eastAsia="Symbol" w:cs="Symbol"/>
      </w:rPr>
      <w:start w:val="0"/>
      <w:suff w:val="tab"/>
    </w:lvl>
    <w:lvl w:ilvl="3">
      <w:isLgl w:val="false"/>
      <w:lvlJc w:val="left"/>
      <w:lvlText w:val=""/>
      <w:numFmt w:val="bullet"/>
      <w:pPr>
        <w:pBdr/>
        <w:spacing/>
        <w:ind w:hanging="360" w:left="1800"/>
      </w:pPr>
      <w:rPr>
        <w:rFonts w:ascii="Symbol" w:hAnsi="Symbol" w:eastAsia="Symbol" w:cs="Symbol"/>
      </w:rPr>
      <w:start w:val="0"/>
      <w:suff w:val="tab"/>
    </w:lvl>
    <w:lvl w:ilvl="4">
      <w:isLgl w:val="false"/>
      <w:lvlJc w:val="left"/>
      <w:lvlText w:val=""/>
      <w:numFmt w:val="bullet"/>
      <w:pPr>
        <w:pBdr/>
        <w:spacing/>
        <w:ind w:hanging="360" w:left="2160"/>
      </w:pPr>
      <w:rPr>
        <w:rFonts w:ascii="Symbol" w:hAnsi="Symbol" w:eastAsia="Symbol" w:cs="Symbol"/>
      </w:rPr>
      <w:start w:val="0"/>
      <w:suff w:val="tab"/>
    </w:lvl>
    <w:lvl w:ilvl="5">
      <w:isLgl w:val="false"/>
      <w:lvlJc w:val="left"/>
      <w:lvlText w:val=""/>
      <w:numFmt w:val="bullet"/>
      <w:pPr>
        <w:pBdr/>
        <w:spacing/>
        <w:ind w:hanging="360" w:left="2520"/>
      </w:pPr>
      <w:rPr>
        <w:rFonts w:ascii="Symbol" w:hAnsi="Symbol" w:eastAsia="Symbol" w:cs="Symbol"/>
      </w:rPr>
      <w:start w:val="0"/>
      <w:suff w:val="tab"/>
    </w:lvl>
    <w:lvl w:ilvl="6">
      <w:isLgl w:val="false"/>
      <w:lvlJc w:val="left"/>
      <w:lvlText w:val=""/>
      <w:numFmt w:val="bullet"/>
      <w:pPr>
        <w:pBdr/>
        <w:spacing/>
        <w:ind w:hanging="360" w:left="2880"/>
      </w:pPr>
      <w:rPr>
        <w:rFonts w:ascii="Symbol" w:hAnsi="Symbol" w:eastAsia="Symbol" w:cs="Symbol"/>
      </w:rPr>
      <w:start w:val="0"/>
      <w:suff w:val="tab"/>
    </w:lvl>
    <w:lvl w:ilvl="7">
      <w:isLgl w:val="false"/>
      <w:lvlJc w:val="left"/>
      <w:lvlText w:val=""/>
      <w:numFmt w:val="bullet"/>
      <w:pPr>
        <w:pBdr/>
        <w:spacing/>
        <w:ind w:hanging="360" w:left="3240"/>
      </w:pPr>
      <w:rPr>
        <w:rFonts w:ascii="Symbol" w:hAnsi="Symbol" w:eastAsia="Symbol" w:cs="Symbol"/>
      </w:rPr>
      <w:start w:val="0"/>
      <w:suff w:val="tab"/>
    </w:lvl>
    <w:lvl w:ilvl="8">
      <w:isLgl w:val="false"/>
      <w:lvlJc w:val="left"/>
      <w:lvlText w:val=""/>
      <w:numFmt w:val="bullet"/>
      <w:pPr>
        <w:pBdr/>
        <w:spacing/>
        <w:ind w:hanging="360" w:left="3600"/>
      </w:pPr>
      <w:rPr>
        <w:rFonts w:ascii="Symbol" w:hAnsi="Symbol" w:eastAsia="Symbol" w:cs="Symbol"/>
      </w:rPr>
      <w:start w:val="0"/>
      <w:suff w:val="tab"/>
    </w:lvl>
  </w:abstractNum>
  <w:abstractNum w:abstractNumId="7">
    <w:lvl w:ilvl="0">
      <w:isLgl w:val="false"/>
      <w:lvlJc w:val="left"/>
      <w:lvlText w:val=""/>
      <w:numFmt w:val="bullet"/>
      <w:pPr>
        <w:pBdr/>
        <w:spacing/>
        <w:ind w:hanging="360" w:left="720"/>
      </w:pPr>
      <w:rPr>
        <w:rFonts w:ascii="Symbol" w:hAnsi="Symbol" w:eastAsia="Symbol" w:cs="Symbol"/>
      </w:rPr>
      <w:start w:val="0"/>
      <w:suff w:val="tab"/>
    </w:lvl>
    <w:lvl w:ilvl="1">
      <w:isLgl w:val="false"/>
      <w:lvlJc w:val="left"/>
      <w:lvlText w:val=""/>
      <w:numFmt w:val="bullet"/>
      <w:pPr>
        <w:pBdr/>
        <w:spacing/>
        <w:ind w:hanging="360" w:left="1080"/>
      </w:pPr>
      <w:rPr>
        <w:rFonts w:ascii="Symbol" w:hAnsi="Symbol" w:eastAsia="Symbol" w:cs="Symbol"/>
      </w:rPr>
      <w:start w:val="0"/>
      <w:suff w:val="tab"/>
    </w:lvl>
    <w:lvl w:ilvl="2">
      <w:isLgl w:val="false"/>
      <w:lvlJc w:val="left"/>
      <w:lvlText w:val=""/>
      <w:numFmt w:val="bullet"/>
      <w:pPr>
        <w:pBdr/>
        <w:spacing/>
        <w:ind w:hanging="360" w:left="1440"/>
      </w:pPr>
      <w:rPr>
        <w:rFonts w:ascii="Symbol" w:hAnsi="Symbol" w:eastAsia="Symbol" w:cs="Symbol"/>
      </w:rPr>
      <w:start w:val="0"/>
      <w:suff w:val="tab"/>
    </w:lvl>
    <w:lvl w:ilvl="3">
      <w:isLgl w:val="false"/>
      <w:lvlJc w:val="left"/>
      <w:lvlText w:val=""/>
      <w:numFmt w:val="bullet"/>
      <w:pPr>
        <w:pBdr/>
        <w:spacing/>
        <w:ind w:hanging="360" w:left="1800"/>
      </w:pPr>
      <w:rPr>
        <w:rFonts w:ascii="Symbol" w:hAnsi="Symbol" w:eastAsia="Symbol" w:cs="Symbol"/>
      </w:rPr>
      <w:start w:val="0"/>
      <w:suff w:val="tab"/>
    </w:lvl>
    <w:lvl w:ilvl="4">
      <w:isLgl w:val="false"/>
      <w:lvlJc w:val="left"/>
      <w:lvlText w:val=""/>
      <w:numFmt w:val="bullet"/>
      <w:pPr>
        <w:pBdr/>
        <w:spacing/>
        <w:ind w:hanging="360" w:left="2160"/>
      </w:pPr>
      <w:rPr>
        <w:rFonts w:ascii="Symbol" w:hAnsi="Symbol" w:eastAsia="Symbol" w:cs="Symbol"/>
      </w:rPr>
      <w:start w:val="0"/>
      <w:suff w:val="tab"/>
    </w:lvl>
    <w:lvl w:ilvl="5">
      <w:isLgl w:val="false"/>
      <w:lvlJc w:val="left"/>
      <w:lvlText w:val=""/>
      <w:numFmt w:val="bullet"/>
      <w:pPr>
        <w:pBdr/>
        <w:spacing/>
        <w:ind w:hanging="360" w:left="2520"/>
      </w:pPr>
      <w:rPr>
        <w:rFonts w:ascii="Symbol" w:hAnsi="Symbol" w:eastAsia="Symbol" w:cs="Symbol"/>
      </w:rPr>
      <w:start w:val="0"/>
      <w:suff w:val="tab"/>
    </w:lvl>
    <w:lvl w:ilvl="6">
      <w:isLgl w:val="false"/>
      <w:lvlJc w:val="left"/>
      <w:lvlText w:val=""/>
      <w:numFmt w:val="bullet"/>
      <w:pPr>
        <w:pBdr/>
        <w:spacing/>
        <w:ind w:hanging="360" w:left="2880"/>
      </w:pPr>
      <w:rPr>
        <w:rFonts w:ascii="Symbol" w:hAnsi="Symbol" w:eastAsia="Symbol" w:cs="Symbol"/>
      </w:rPr>
      <w:start w:val="0"/>
      <w:suff w:val="tab"/>
    </w:lvl>
    <w:lvl w:ilvl="7">
      <w:isLgl w:val="false"/>
      <w:lvlJc w:val="left"/>
      <w:lvlText w:val=""/>
      <w:numFmt w:val="bullet"/>
      <w:pPr>
        <w:pBdr/>
        <w:spacing/>
        <w:ind w:hanging="360" w:left="3240"/>
      </w:pPr>
      <w:rPr>
        <w:rFonts w:ascii="Symbol" w:hAnsi="Symbol" w:eastAsia="Symbol" w:cs="Symbol"/>
      </w:rPr>
      <w:start w:val="0"/>
      <w:suff w:val="tab"/>
    </w:lvl>
    <w:lvl w:ilvl="8">
      <w:isLgl w:val="false"/>
      <w:lvlJc w:val="left"/>
      <w:lvlText w:val=""/>
      <w:numFmt w:val="bullet"/>
      <w:pPr>
        <w:pBdr/>
        <w:spacing/>
        <w:ind w:hanging="360" w:left="3600"/>
      </w:pPr>
      <w:rPr>
        <w:rFonts w:ascii="Symbol" w:hAnsi="Symbol" w:eastAsia="Symbol" w:cs="Symbol"/>
      </w:rPr>
      <w:start w:val="0"/>
      <w:suff w:val="tab"/>
    </w:lvl>
  </w:abstractNum>
  <w:abstractNum w:abstractNumId="8">
    <w:lvl w:ilvl="0">
      <w:isLgl w:val="false"/>
      <w:lvlJc w:val="left"/>
      <w:lvlText w:val=""/>
      <w:numFmt w:val="bullet"/>
      <w:pPr>
        <w:pBdr/>
        <w:spacing/>
        <w:ind w:hanging="360" w:left="720"/>
      </w:pPr>
      <w:rPr>
        <w:rFonts w:ascii="Symbol" w:hAnsi="Symbol" w:eastAsia="Symbol" w:cs="Symbol"/>
      </w:rPr>
      <w:start w:val="0"/>
      <w:suff w:val="tab"/>
    </w:lvl>
    <w:lvl w:ilvl="1">
      <w:isLgl w:val="false"/>
      <w:lvlJc w:val="left"/>
      <w:lvlText w:val=""/>
      <w:numFmt w:val="bullet"/>
      <w:pPr>
        <w:pBdr/>
        <w:spacing/>
        <w:ind w:hanging="360" w:left="1080"/>
      </w:pPr>
      <w:rPr>
        <w:rFonts w:ascii="Symbol" w:hAnsi="Symbol" w:eastAsia="Symbol" w:cs="Symbol"/>
      </w:rPr>
      <w:start w:val="0"/>
      <w:suff w:val="tab"/>
    </w:lvl>
    <w:lvl w:ilvl="2">
      <w:isLgl w:val="false"/>
      <w:lvlJc w:val="left"/>
      <w:lvlText w:val=""/>
      <w:numFmt w:val="bullet"/>
      <w:pPr>
        <w:pBdr/>
        <w:spacing/>
        <w:ind w:hanging="360" w:left="1440"/>
      </w:pPr>
      <w:rPr>
        <w:rFonts w:ascii="Symbol" w:hAnsi="Symbol" w:eastAsia="Symbol" w:cs="Symbol"/>
      </w:rPr>
      <w:start w:val="0"/>
      <w:suff w:val="tab"/>
    </w:lvl>
    <w:lvl w:ilvl="3">
      <w:isLgl w:val="false"/>
      <w:lvlJc w:val="left"/>
      <w:lvlText w:val=""/>
      <w:numFmt w:val="bullet"/>
      <w:pPr>
        <w:pBdr/>
        <w:spacing/>
        <w:ind w:hanging="360" w:left="1800"/>
      </w:pPr>
      <w:rPr>
        <w:rFonts w:ascii="Symbol" w:hAnsi="Symbol" w:eastAsia="Symbol" w:cs="Symbol"/>
      </w:rPr>
      <w:start w:val="0"/>
      <w:suff w:val="tab"/>
    </w:lvl>
    <w:lvl w:ilvl="4">
      <w:isLgl w:val="false"/>
      <w:lvlJc w:val="left"/>
      <w:lvlText w:val=""/>
      <w:numFmt w:val="bullet"/>
      <w:pPr>
        <w:pBdr/>
        <w:spacing/>
        <w:ind w:hanging="360" w:left="2160"/>
      </w:pPr>
      <w:rPr>
        <w:rFonts w:ascii="Symbol" w:hAnsi="Symbol" w:eastAsia="Symbol" w:cs="Symbol"/>
      </w:rPr>
      <w:start w:val="0"/>
      <w:suff w:val="tab"/>
    </w:lvl>
    <w:lvl w:ilvl="5">
      <w:isLgl w:val="false"/>
      <w:lvlJc w:val="left"/>
      <w:lvlText w:val=""/>
      <w:numFmt w:val="bullet"/>
      <w:pPr>
        <w:pBdr/>
        <w:spacing/>
        <w:ind w:hanging="360" w:left="2520"/>
      </w:pPr>
      <w:rPr>
        <w:rFonts w:ascii="Symbol" w:hAnsi="Symbol" w:eastAsia="Symbol" w:cs="Symbol"/>
      </w:rPr>
      <w:start w:val="0"/>
      <w:suff w:val="tab"/>
    </w:lvl>
    <w:lvl w:ilvl="6">
      <w:isLgl w:val="false"/>
      <w:lvlJc w:val="left"/>
      <w:lvlText w:val=""/>
      <w:numFmt w:val="bullet"/>
      <w:pPr>
        <w:pBdr/>
        <w:spacing/>
        <w:ind w:hanging="360" w:left="2880"/>
      </w:pPr>
      <w:rPr>
        <w:rFonts w:ascii="Symbol" w:hAnsi="Symbol" w:eastAsia="Symbol" w:cs="Symbol"/>
      </w:rPr>
      <w:start w:val="0"/>
      <w:suff w:val="tab"/>
    </w:lvl>
    <w:lvl w:ilvl="7">
      <w:isLgl w:val="false"/>
      <w:lvlJc w:val="left"/>
      <w:lvlText w:val=""/>
      <w:numFmt w:val="bullet"/>
      <w:pPr>
        <w:pBdr/>
        <w:spacing/>
        <w:ind w:hanging="360" w:left="3240"/>
      </w:pPr>
      <w:rPr>
        <w:rFonts w:ascii="Symbol" w:hAnsi="Symbol" w:eastAsia="Symbol" w:cs="Symbol"/>
      </w:rPr>
      <w:start w:val="0"/>
      <w:suff w:val="tab"/>
    </w:lvl>
    <w:lvl w:ilvl="8">
      <w:isLgl w:val="false"/>
      <w:lvlJc w:val="left"/>
      <w:lvlText w:val=""/>
      <w:numFmt w:val="bullet"/>
      <w:pPr>
        <w:pBdr/>
        <w:spacing/>
        <w:ind w:hanging="360" w:left="3600"/>
      </w:pPr>
      <w:rPr>
        <w:rFonts w:ascii="Symbol" w:hAnsi="Symbol" w:eastAsia="Symbol" w:cs="Symbol"/>
      </w:rPr>
      <w:start w:val="0"/>
      <w:suff w:val="tab"/>
    </w:lvl>
  </w:abstractNum>
  <w:abstractNum w:abstractNumId="9">
    <w:lvl w:ilvl="0">
      <w:isLgl w:val="false"/>
      <w:lvlJc w:val="left"/>
      <w:lvlText w:val="%1)"/>
      <w:numFmt w:val="lowerLetter"/>
      <w:pPr>
        <w:pBdr/>
        <w:spacing/>
        <w:ind w:hanging="360" w:left="720"/>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0">
    <w:lvl w:ilvl="0">
      <w:isLgl w:val="false"/>
      <w:lvlJc w:val="left"/>
      <w:lvlText w:val="%1."/>
      <w:numFmt w:val="decimal"/>
      <w:pPr>
        <w:pBdr/>
        <w:spacing/>
        <w:ind w:hanging="360" w:left="720"/>
      </w:pPr>
      <w:rPr/>
      <w:start w:val="1"/>
      <w:suff w:val="tab"/>
    </w:lvl>
    <w:lvl w:ilvl="1">
      <w:isLgl w:val="false"/>
      <w:lvlJc w:val="left"/>
      <w:lvlText w:val="%2."/>
      <w:numFmt w:val="decimal"/>
      <w:pPr>
        <w:pBdr/>
        <w:spacing/>
        <w:ind w:hanging="360" w:left="1080"/>
      </w:pPr>
      <w:rPr/>
      <w:start w:val="1"/>
      <w:suff w:val="tab"/>
    </w:lvl>
    <w:lvl w:ilvl="2">
      <w:isLgl w:val="false"/>
      <w:lvlJc w:val="left"/>
      <w:lvlText w:val="%3."/>
      <w:numFmt w:val="decimal"/>
      <w:pPr>
        <w:pBdr/>
        <w:spacing/>
        <w:ind w:hanging="360" w:left="1440"/>
      </w:pPr>
      <w:rPr/>
      <w:start w:val="1"/>
      <w:suff w:val="tab"/>
    </w:lvl>
    <w:lvl w:ilvl="3">
      <w:isLgl w:val="false"/>
      <w:lvlJc w:val="left"/>
      <w:lvlText w:val="%4."/>
      <w:numFmt w:val="decimal"/>
      <w:pPr>
        <w:pBdr/>
        <w:spacing/>
        <w:ind w:hanging="360" w:left="1800"/>
      </w:pPr>
      <w:rPr/>
      <w:start w:val="1"/>
      <w:suff w:val="tab"/>
    </w:lvl>
    <w:lvl w:ilvl="4">
      <w:isLgl w:val="false"/>
      <w:lvlJc w:val="left"/>
      <w:lvlText w:val="%5."/>
      <w:numFmt w:val="decimal"/>
      <w:pPr>
        <w:pBdr/>
        <w:spacing/>
        <w:ind w:hanging="360" w:left="2160"/>
      </w:pPr>
      <w:rPr/>
      <w:start w:val="1"/>
      <w:suff w:val="tab"/>
    </w:lvl>
    <w:lvl w:ilvl="5">
      <w:isLgl w:val="false"/>
      <w:lvlJc w:val="left"/>
      <w:lvlText w:val="%6."/>
      <w:numFmt w:val="decimal"/>
      <w:pPr>
        <w:pBdr/>
        <w:spacing/>
        <w:ind w:hanging="360" w:left="2520"/>
      </w:pPr>
      <w:rPr/>
      <w:start w:val="1"/>
      <w:suff w:val="tab"/>
    </w:lvl>
    <w:lvl w:ilvl="6">
      <w:isLgl w:val="false"/>
      <w:lvlJc w:val="left"/>
      <w:lvlText w:val="%7."/>
      <w:numFmt w:val="decimal"/>
      <w:pPr>
        <w:pBdr/>
        <w:spacing/>
        <w:ind w:hanging="360" w:left="2880"/>
      </w:pPr>
      <w:rPr/>
      <w:start w:val="1"/>
      <w:suff w:val="tab"/>
    </w:lvl>
    <w:lvl w:ilvl="7">
      <w:isLgl w:val="false"/>
      <w:lvlJc w:val="left"/>
      <w:lvlText w:val="%8."/>
      <w:numFmt w:val="decimal"/>
      <w:pPr>
        <w:pBdr/>
        <w:spacing/>
        <w:ind w:hanging="360" w:left="3240"/>
      </w:pPr>
      <w:rPr/>
      <w:start w:val="1"/>
      <w:suff w:val="tab"/>
    </w:lvl>
    <w:lvl w:ilvl="8">
      <w:isLgl w:val="false"/>
      <w:lvlJc w:val="left"/>
      <w:lvlText w:val="%9."/>
      <w:numFmt w:val="decimal"/>
      <w:pPr>
        <w:pBdr/>
        <w:spacing/>
        <w:ind w:hanging="360" w:left="3600"/>
      </w:pPr>
      <w:rPr/>
      <w:start w:val="1"/>
      <w:suff w:val="tab"/>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pl-PL" w:eastAsia="en-US" w:bidi="ar-SA"/>
      </w:rPr>
    </w:rPrDefault>
    <w:pPrDefault>
      <w:pPr>
        <w:pBdr/>
        <w:spacing w:after="200" w:afterAutospacing="0" w:before="0" w:beforeAutospacing="0" w:line="276" w:lineRule="auto"/>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11">
    <w:name w:val="Table Grid"/>
    <w:basedOn w:val="630"/>
    <w:uiPriority w:val="59"/>
    <w:pPr>
      <w:pBdr/>
      <w:spacing w:after="0" w:line="240" w:lineRule="auto"/>
      <w:ind/>
    </w:pPr>
    <w:tblP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
    <w:name w:val="Table Grid Light"/>
    <w:basedOn w:val="630"/>
    <w:uiPriority w:val="59"/>
    <w:pPr>
      <w:pBdr/>
      <w:spacing w:after="0" w:line="240" w:lineRule="auto"/>
      <w:ind/>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
    <w:name w:val="Plain Table 1"/>
    <w:basedOn w:val="630"/>
    <w:uiPriority w:val="59"/>
    <w:pPr>
      <w:pBdr/>
      <w:spacing w:after="0" w:line="240" w:lineRule="auto"/>
      <w:ind/>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
    <w:name w:val="Plain Table 2"/>
    <w:basedOn w:val="630"/>
    <w:uiPriority w:val="59"/>
    <w:pPr>
      <w:pBdr/>
      <w:spacing w:after="0" w:line="240" w:lineRule="auto"/>
      <w:ind/>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5">
    <w:name w:val="Plain Table 3"/>
    <w:basedOn w:val="6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6">
    <w:name w:val="Plain Table 4"/>
    <w:basedOn w:val="6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
    <w:name w:val="Plain Table 5"/>
    <w:basedOn w:val="6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
    <w:name w:val="Grid Table 1 Light"/>
    <w:basedOn w:val="630"/>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
    <w:name w:val="Grid Table 1 Light - Accent 1"/>
    <w:basedOn w:val="630"/>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
    <w:name w:val="Grid Table 1 Light - Accent 2"/>
    <w:basedOn w:val="630"/>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1">
    <w:name w:val="Grid Table 1 Light - Accent 3"/>
    <w:basedOn w:val="630"/>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2">
    <w:name w:val="Grid Table 1 Light - Accent 4"/>
    <w:basedOn w:val="630"/>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3">
    <w:name w:val="Grid Table 1 Light - Accent 5"/>
    <w:basedOn w:val="630"/>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4">
    <w:name w:val="Grid Table 1 Light - Accent 6"/>
    <w:basedOn w:val="630"/>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5">
    <w:name w:val="Grid Table 2"/>
    <w:basedOn w:val="630"/>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
    <w:name w:val="Grid Table 2 - Accent 1"/>
    <w:basedOn w:val="630"/>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
    <w:name w:val="Grid Table 2 - Accent 2"/>
    <w:basedOn w:val="630"/>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8">
    <w:name w:val="Grid Table 2 - Accent 3"/>
    <w:basedOn w:val="630"/>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9">
    <w:name w:val="Grid Table 2 - Accent 4"/>
    <w:basedOn w:val="630"/>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0">
    <w:name w:val="Grid Table 2 - Accent 5"/>
    <w:basedOn w:val="630"/>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1">
    <w:name w:val="Grid Table 2 - Accent 6"/>
    <w:basedOn w:val="630"/>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2">
    <w:name w:val="Grid Table 3"/>
    <w:basedOn w:val="630"/>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3">
    <w:name w:val="Grid Table 3 - Accent 1"/>
    <w:basedOn w:val="630"/>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4">
    <w:name w:val="Grid Table 3 - Accent 2"/>
    <w:basedOn w:val="630"/>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5">
    <w:name w:val="Grid Table 3 - Accent 3"/>
    <w:basedOn w:val="630"/>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6">
    <w:name w:val="Grid Table 3 - Accent 4"/>
    <w:basedOn w:val="630"/>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7">
    <w:name w:val="Grid Table 3 - Accent 5"/>
    <w:basedOn w:val="630"/>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8">
    <w:name w:val="Grid Table 3 - Accent 6"/>
    <w:basedOn w:val="630"/>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9">
    <w:name w:val="Grid Table 4"/>
    <w:basedOn w:val="630"/>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0">
    <w:name w:val="Grid Table 4 - Accent 1"/>
    <w:basedOn w:val="630"/>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69a3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1">
    <w:name w:val="Grid Table 4 - Accent 2"/>
    <w:basedOn w:val="630"/>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2">
    <w:name w:val="Grid Table 4 - Accent 3"/>
    <w:basedOn w:val="630"/>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3">
    <w:name w:val="Grid Table 4 - Accent 4"/>
    <w:basedOn w:val="630"/>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4">
    <w:name w:val="Grid Table 4 - Accent 5"/>
    <w:basedOn w:val="630"/>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5">
    <w:name w:val="Grid Table 4 - Accent 6"/>
    <w:basedOn w:val="630"/>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6">
    <w:name w:val="Grid Table 5 Dark"/>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7">
    <w:name w:val="Grid Table 5 Dark- Accent 1"/>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eebf6" w:themeFill="accent1" w:themeFillTint="34"/>
    </w:tblPr>
    <w:tcPr>
      <w:tcBorders/>
    </w:tcPr>
    <w:tblStylePr w:type="band1Horz">
      <w:pPr>
        <w:pBdr/>
        <w:spacing/>
        <w:ind/>
      </w:pPr>
      <w:tblPr>
        <w:tblBorders/>
      </w:tblPr>
      <w:tcPr>
        <w:shd w:val="clear" w:color="ffffff" w:themeColor="accent1" w:themeTint="75" w:fill="b4d1ec" w:themeFill="accent1" w:themeFillTint="75"/>
        <w:tcBorders/>
      </w:tcPr>
    </w:tblStylePr>
    <w:tblStylePr w:type="band1Vert">
      <w:pPr>
        <w:pBdr/>
        <w:spacing/>
        <w:ind/>
      </w:pPr>
      <w:tblPr>
        <w:tblBorders/>
      </w:tblPr>
      <w:tcPr>
        <w:shd w:val="clear" w:color="ffffff" w:themeColor="accent1" w:themeTint="75" w:fill="b4d1ec"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5b9bd5" w:themeFill="accent1"/>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rFonts w:ascii="Arial" w:hAnsi="Arial"/>
        <w:b/>
        <w:color w:val="ffffff"/>
        <w:sz w:val="22"/>
      </w:rPr>
      <w:pPr>
        <w:pBdr/>
        <w:spacing/>
        <w:ind/>
      </w:pPr>
      <w:tblPr>
        <w:tblBorders/>
      </w:tblPr>
      <w:tcPr>
        <w:shd w:val="clear" w:color="ffffff" w:themeColor="accent1" w:fill="5b9bd5" w:themeFill="accent1"/>
        <w:tcBorders/>
      </w:tcPr>
    </w:tblStylePr>
    <w:tblStylePr w:type="lastRow">
      <w:rPr>
        <w:rFonts w:ascii="Arial" w:hAnsi="Arial"/>
        <w:b/>
        <w:color w:val="ffffff"/>
        <w:sz w:val="22"/>
      </w:rPr>
      <w:pPr>
        <w:pBdr/>
        <w:spacing/>
        <w:ind/>
      </w:pPr>
      <w:tblPr>
        <w:tblBorders/>
      </w:tblPr>
      <w:tcPr>
        <w:shd w:val="clear" w:color="ffffff" w:themeColor="accent1" w:fill="5b9bd5"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8">
    <w:name w:val="Grid Table 5 Dark - Accent 2"/>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6d7" w:themeFill="accent2" w:themeFillTint="32"/>
    </w:tblPr>
    <w:tcPr>
      <w:tcBorders/>
    </w:tcPr>
    <w:tblStylePr w:type="band1Horz">
      <w:pPr>
        <w:pBdr/>
        <w:spacing/>
        <w:ind/>
      </w:pPr>
      <w:tblPr>
        <w:tblBorders/>
      </w:tblPr>
      <w:tcPr>
        <w:shd w:val="clear" w:color="ffffff" w:themeColor="accent2" w:themeTint="75" w:fill="f7c3a0" w:themeFill="accent2" w:themeFillTint="75"/>
        <w:tcBorders/>
      </w:tcPr>
    </w:tblStylePr>
    <w:tblStylePr w:type="band1Vert">
      <w:pPr>
        <w:pBdr/>
        <w:spacing/>
        <w:ind/>
      </w:pPr>
      <w:tblPr>
        <w:tblBorders/>
      </w:tblPr>
      <w:tcPr>
        <w:shd w:val="clear" w:color="ffffff" w:themeColor="accent2" w:themeTint="75" w:fill="f7c3a0"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ed7d31" w:themeFill="accent2"/>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rFonts w:ascii="Arial" w:hAnsi="Arial"/>
        <w:b/>
        <w:color w:val="ffffff"/>
        <w:sz w:val="22"/>
      </w:rPr>
      <w:pPr>
        <w:pBdr/>
        <w:spacing/>
        <w:ind/>
      </w:pPr>
      <w:tblPr>
        <w:tblBorders/>
      </w:tblPr>
      <w:tcPr>
        <w:shd w:val="clear" w:color="ffffff" w:themeColor="accent2" w:fill="ed7d31" w:themeFill="accent2"/>
        <w:tcBorders/>
      </w:tcPr>
    </w:tblStylePr>
    <w:tblStylePr w:type="lastRow">
      <w:rPr>
        <w:rFonts w:ascii="Arial" w:hAnsi="Arial"/>
        <w:b/>
        <w:color w:val="ffffff"/>
        <w:sz w:val="22"/>
      </w:rPr>
      <w:pPr>
        <w:pBdr/>
        <w:spacing/>
        <w:ind/>
      </w:pPr>
      <w:tblPr>
        <w:tblBorders/>
      </w:tblPr>
      <w:tcPr>
        <w:shd w:val="clear" w:color="ffffff" w:themeColor="accent2" w:fill="ed7d31"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9">
    <w:name w:val="Grid Table 5 Dark - Accent 3"/>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cPr>
      <w:tcBorders/>
    </w:tcPr>
    <w:tblStylePr w:type="band1Horz">
      <w:pPr>
        <w:pBdr/>
        <w:spacing/>
        <w:ind/>
      </w:pPr>
      <w:tblPr>
        <w:tblBorders/>
      </w:tblPr>
      <w:tcPr>
        <w:shd w:val="clear" w:color="ffffff" w:themeColor="accent3" w:themeTint="75" w:fill="d6d6d6" w:themeFill="accent3" w:themeFillTint="75"/>
        <w:tcBorders/>
      </w:tcPr>
    </w:tblStylePr>
    <w:tblStylePr w:type="band1Vert">
      <w:pPr>
        <w:pBdr/>
        <w:spacing/>
        <w:ind/>
      </w:pPr>
      <w:tblPr>
        <w:tblBorders/>
      </w:tblPr>
      <w:tcPr>
        <w:shd w:val="clear" w:color="ffffff" w:themeColor="accent3" w:themeTint="75" w:fill="d6d6d6"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a5a5a5" w:themeFill="accent3"/>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rFonts w:ascii="Arial" w:hAnsi="Arial"/>
        <w:b/>
        <w:color w:val="ffffff"/>
        <w:sz w:val="22"/>
      </w:rPr>
      <w:pPr>
        <w:pBdr/>
        <w:spacing/>
        <w:ind/>
      </w:pPr>
      <w:tblPr>
        <w:tblBorders/>
      </w:tblPr>
      <w:tcPr>
        <w:shd w:val="clear" w:color="ffffff" w:themeColor="accent3" w:fill="a5a5a5" w:themeFill="accent3"/>
        <w:tcBorders/>
      </w:tcPr>
    </w:tblStylePr>
    <w:tblStylePr w:type="lastRow">
      <w:rPr>
        <w:rFonts w:ascii="Arial" w:hAnsi="Arial"/>
        <w:b/>
        <w:color w:val="ffffff"/>
        <w:sz w:val="22"/>
      </w:rPr>
      <w:pPr>
        <w:pBdr/>
        <w:spacing/>
        <w:ind/>
      </w:pPr>
      <w:tblPr>
        <w:tblBorders/>
      </w:tblPr>
      <w:tcPr>
        <w:shd w:val="clear" w:color="ffffff" w:themeColor="accent3" w:fill="a5a5a5"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0">
    <w:name w:val="Grid Table 5 Dark- Accent 4"/>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ff2cb" w:themeFill="accent4" w:themeFillTint="34"/>
    </w:tblPr>
    <w:tcPr>
      <w:tcBorders/>
    </w:tcPr>
    <w:tblStylePr w:type="band1Horz">
      <w:pPr>
        <w:pBdr/>
        <w:spacing/>
        <w:ind/>
      </w:pPr>
      <w:tblPr>
        <w:tblBorders/>
      </w:tblPr>
      <w:tcPr>
        <w:shd w:val="clear" w:color="ffffff" w:themeColor="accent4" w:themeTint="75" w:fill="ffe28a" w:themeFill="accent4" w:themeFillTint="75"/>
        <w:tcBorders/>
      </w:tcPr>
    </w:tblStylePr>
    <w:tblStylePr w:type="band1Vert">
      <w:pPr>
        <w:pBdr/>
        <w:spacing/>
        <w:ind/>
      </w:pPr>
      <w:tblPr>
        <w:tblBorders/>
      </w:tblPr>
      <w:tcPr>
        <w:shd w:val="clear" w:color="ffffff" w:themeColor="accent4" w:themeTint="75" w:fill="ffe28a"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ffc000" w:themeFill="accent4"/>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rFonts w:ascii="Arial" w:hAnsi="Arial"/>
        <w:b/>
        <w:color w:val="ffffff"/>
        <w:sz w:val="22"/>
      </w:rPr>
      <w:pPr>
        <w:pBdr/>
        <w:spacing/>
        <w:ind/>
      </w:pPr>
      <w:tblPr>
        <w:tblBorders/>
      </w:tblPr>
      <w:tcPr>
        <w:shd w:val="clear" w:color="ffffff" w:themeColor="accent4" w:fill="ffc000" w:themeFill="accent4"/>
        <w:tcBorders/>
      </w:tcPr>
    </w:tblStylePr>
    <w:tblStylePr w:type="lastRow">
      <w:rPr>
        <w:rFonts w:ascii="Arial" w:hAnsi="Arial"/>
        <w:b/>
        <w:color w:val="ffffff"/>
        <w:sz w:val="22"/>
      </w:rPr>
      <w:pPr>
        <w:pBdr/>
        <w:spacing/>
        <w:ind/>
      </w:pPr>
      <w:tblPr>
        <w:tblBorders/>
      </w:tblPr>
      <w:tcPr>
        <w:shd w:val="clear" w:color="ffffff" w:themeColor="accent4" w:fill="ffc000"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1">
    <w:name w:val="Grid Table 5 Dark - Accent 5"/>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3" w:themeFill="accent5" w:themeFillTint="34"/>
    </w:tblPr>
    <w:tcPr>
      <w:tcBorders/>
    </w:tcPr>
    <w:tblStylePr w:type="band1Horz">
      <w:pPr>
        <w:pBdr/>
        <w:spacing/>
        <w:ind/>
      </w:pPr>
      <w:tblPr>
        <w:tblBorders/>
      </w:tblPr>
      <w:tcPr>
        <w:shd w:val="clear" w:color="ffffff" w:themeColor="accent5" w:themeTint="75" w:fill="a9bee4" w:themeFill="accent5" w:themeFillTint="75"/>
        <w:tcBorders/>
      </w:tcPr>
    </w:tblStylePr>
    <w:tblStylePr w:type="band1Vert">
      <w:pPr>
        <w:pBdr/>
        <w:spacing/>
        <w:ind/>
      </w:pPr>
      <w:tblPr>
        <w:tblBorders/>
      </w:tblPr>
      <w:tcPr>
        <w:shd w:val="clear" w:color="ffffff" w:themeColor="accent5" w:themeTint="75" w:fill="a9bee4"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4472c4" w:themeFill="accent5"/>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rFonts w:ascii="Arial" w:hAnsi="Arial"/>
        <w:b/>
        <w:color w:val="ffffff"/>
        <w:sz w:val="22"/>
      </w:rPr>
      <w:pPr>
        <w:pBdr/>
        <w:spacing/>
        <w:ind/>
      </w:pPr>
      <w:tblPr>
        <w:tblBorders/>
      </w:tblPr>
      <w:tcPr>
        <w:shd w:val="clear" w:color="ffffff" w:themeColor="accent5" w:fill="4472c4" w:themeFill="accent5"/>
        <w:tcBorders/>
      </w:tcPr>
    </w:tblStylePr>
    <w:tblStylePr w:type="lastRow">
      <w:rPr>
        <w:rFonts w:ascii="Arial" w:hAnsi="Arial"/>
        <w:b/>
        <w:color w:val="ffffff"/>
        <w:sz w:val="22"/>
      </w:rPr>
      <w:pPr>
        <w:pBdr/>
        <w:spacing/>
        <w:ind/>
      </w:pPr>
      <w:tblPr>
        <w:tblBorders/>
      </w:tblPr>
      <w:tcPr>
        <w:shd w:val="clear" w:color="ffffff" w:themeColor="accent5" w:fill="4472c4"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2">
    <w:name w:val="Grid Table 5 Dark - Accent 6"/>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9" w:themeFill="accent6" w:themeFillTint="34"/>
    </w:tblPr>
    <w:tcPr>
      <w:tcBorders/>
    </w:tcPr>
    <w:tblStylePr w:type="band1Horz">
      <w:pPr>
        <w:pBdr/>
        <w:spacing/>
        <w:ind/>
      </w:pPr>
      <w:tblPr>
        <w:tblBorders/>
      </w:tblPr>
      <w:tcPr>
        <w:shd w:val="clear" w:color="ffffff" w:themeColor="accent6" w:themeTint="75" w:fill="bddba8" w:themeFill="accent6" w:themeFillTint="75"/>
        <w:tcBorders/>
      </w:tcPr>
    </w:tblStylePr>
    <w:tblStylePr w:type="band1Vert">
      <w:pPr>
        <w:pBdr/>
        <w:spacing/>
        <w:ind/>
      </w:pPr>
      <w:tblPr>
        <w:tblBorders/>
      </w:tblPr>
      <w:tcPr>
        <w:shd w:val="clear" w:color="ffffff" w:themeColor="accent6" w:themeTint="75" w:fill="bddba8"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70ad47" w:themeFill="accent6"/>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rFonts w:ascii="Arial" w:hAnsi="Arial"/>
        <w:b/>
        <w:color w:val="ffffff"/>
        <w:sz w:val="22"/>
      </w:rPr>
      <w:pPr>
        <w:pBdr/>
        <w:spacing/>
        <w:ind/>
      </w:pPr>
      <w:tblPr>
        <w:tblBorders/>
      </w:tblPr>
      <w:tcPr>
        <w:shd w:val="clear" w:color="ffffff" w:themeColor="accent6" w:fill="70ad47" w:themeFill="accent6"/>
        <w:tcBorders/>
      </w:tcPr>
    </w:tblStylePr>
    <w:tblStylePr w:type="lastRow">
      <w:rPr>
        <w:rFonts w:ascii="Arial" w:hAnsi="Arial"/>
        <w:b/>
        <w:color w:val="ffffff"/>
        <w:sz w:val="22"/>
      </w:rPr>
      <w:pPr>
        <w:pBdr/>
        <w:spacing/>
        <w:ind/>
      </w:pPr>
      <w:tblPr>
        <w:tblBorders/>
      </w:tblPr>
      <w:tcPr>
        <w:shd w:val="clear" w:color="ffffff" w:themeColor="accent6" w:fill="70ad47"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3">
    <w:name w:val="Grid Table 6 Colorful"/>
    <w:basedOn w:val="630"/>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54">
    <w:name w:val="Grid Table 6 Colorful - Accent 1"/>
    <w:basedOn w:val="630"/>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07abd" w:themeColor="accent1" w:themeTint="80" w:themeShade="95"/>
      </w:rPr>
      <w:pPr>
        <w:pBdr/>
        <w:spacing/>
        <w:ind/>
      </w:pPr>
      <w:tblPr>
        <w:tblBorders/>
      </w:tblPr>
      <w:tcPr>
        <w:tcBorders/>
      </w:tcPr>
    </w:tblStylePr>
    <w:tblStylePr w:type="firstRow">
      <w:rPr>
        <w:b/>
        <w:color w:val="307abd" w:themeColor="accent1" w:themeTint="80" w:themeShade="95"/>
      </w:rPr>
      <w:pPr>
        <w:pBdr/>
        <w:spacing/>
        <w:ind/>
      </w:pPr>
      <w:tblPr>
        <w:tblBorders/>
      </w:tblPr>
      <w:tcPr>
        <w:tcBorders>
          <w:bottom w:val="single" w:color="000000" w:themeColor="accent1" w:themeTint="80" w:sz="12" w:space="0"/>
        </w:tcBorders>
      </w:tcPr>
    </w:tblStylePr>
    <w:tblStylePr w:type="lastCol">
      <w:rPr>
        <w:b/>
        <w:color w:val="307abd" w:themeColor="accent1" w:themeTint="80" w:themeShade="95"/>
      </w:rPr>
      <w:pPr>
        <w:pBdr/>
        <w:spacing/>
        <w:ind/>
      </w:pPr>
      <w:tblPr>
        <w:tblBorders/>
      </w:tblPr>
      <w:tcPr>
        <w:tcBorders/>
      </w:tcPr>
    </w:tblStylePr>
    <w:tblStylePr w:type="lastRow">
      <w:rPr>
        <w:b/>
        <w:color w:val="307abd"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55">
    <w:name w:val="Grid Table 6 Colorful - Accent 2"/>
    <w:basedOn w:val="630"/>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12"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56">
    <w:name w:val="Grid Table 6 Colorful - Accent 3"/>
    <w:basedOn w:val="630"/>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06060" w:themeColor="accent3" w:themeTint="FE" w:themeShade="95"/>
      </w:rPr>
      <w:pPr>
        <w:pBdr/>
        <w:spacing/>
        <w:ind/>
      </w:pPr>
      <w:tblPr>
        <w:tblBorders/>
      </w:tblPr>
      <w:tcPr>
        <w:tcBorders/>
      </w:tcPr>
    </w:tblStylePr>
    <w:tblStylePr w:type="firstRow">
      <w:rPr>
        <w:b/>
        <w:color w:val="606060" w:themeColor="accent3" w:themeTint="FE" w:themeShade="95"/>
      </w:rPr>
      <w:pPr>
        <w:pBdr/>
        <w:spacing/>
        <w:ind/>
      </w:pPr>
      <w:tblPr>
        <w:tblBorders/>
      </w:tblPr>
      <w:tcPr>
        <w:tcBorders>
          <w:bottom w:val="single" w:color="000000" w:themeColor="accent3" w:themeTint="FE" w:sz="12" w:space="0"/>
        </w:tcBorders>
      </w:tcPr>
    </w:tblStylePr>
    <w:tblStylePr w:type="lastCol">
      <w:rPr>
        <w:b/>
        <w:color w:val="606060" w:themeColor="accent3" w:themeTint="FE" w:themeShade="95"/>
      </w:rPr>
      <w:pPr>
        <w:pBdr/>
        <w:spacing/>
        <w:ind/>
      </w:pPr>
      <w:tblPr>
        <w:tblBorders/>
      </w:tblPr>
      <w:tcPr>
        <w:tcBorders/>
      </w:tcPr>
    </w:tblStylePr>
    <w:tblStylePr w:type="lastRow">
      <w:rPr>
        <w:b/>
        <w:color w:val="606060"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57">
    <w:name w:val="Grid Table 6 Colorful - Accent 4"/>
    <w:basedOn w:val="630"/>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12"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58">
    <w:name w:val="Grid Table 6 Colorful - Accent 5"/>
    <w:basedOn w:val="630"/>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5"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59">
    <w:name w:val="Grid Table 6 Colorful - Accent 6"/>
    <w:basedOn w:val="630"/>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6"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60">
    <w:name w:val="Grid Table 7 Colorful"/>
    <w:basedOn w:val="630"/>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1">
    <w:name w:val="Grid Table 7 Colorful - Accent 1"/>
    <w:basedOn w:val="630"/>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07abd"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307abd"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07abd" w:themeColor="accent1" w:themeTint="80" w:themeShade="95"/>
        <w:sz w:val="22"/>
      </w:rPr>
      <w:pPr>
        <w:pBdr/>
        <w:spacing/>
        <w:ind/>
        <w:jc w:val="right"/>
      </w:pPr>
      <w:tblPr>
        <w:tblBorders/>
      </w:tblPr>
      <w:tcPr>
        <w:shd w:color="ffffff"/>
        <w:tcBorders>
          <w:top w:val="none"/>
          <w:left w:val="none"/>
          <w:bottom w:val="none"/>
          <w:right w:val="single" w:color="000000" w:themeColor="accent1" w:themeTint="80" w:sz="4" w:space="0"/>
        </w:tcBorders>
      </w:tcPr>
    </w:tblStylePr>
    <w:tblStylePr w:type="fir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07abd" w:themeColor="accent1" w:themeTint="80" w:themeShade="95"/>
        <w:sz w:val="22"/>
      </w:rPr>
      <w:pPr>
        <w:pBdr/>
        <w:spacing/>
        <w:ind/>
      </w:pPr>
      <w:tblPr>
        <w:tblBorders/>
      </w:tblPr>
      <w:tcPr>
        <w:shd w:color="ffffff"/>
        <w:tcBorders>
          <w:top w:val="none"/>
          <w:left w:val="single" w:color="000000" w:themeColor="accent1" w:themeTint="80" w:sz="4" w:space="0"/>
          <w:bottom w:val="none"/>
          <w:right w:val="none"/>
        </w:tcBorders>
      </w:tcPr>
    </w:tblStylePr>
    <w:tblStylePr w:type="la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2">
    <w:name w:val="Grid Table 7 Colorful - Accent 2"/>
    <w:basedOn w:val="630"/>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a5d12"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3">
    <w:name w:val="Grid Table 7 Colorful - Accent 3"/>
    <w:basedOn w:val="630"/>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60606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60606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06060" w:themeColor="accent3" w:themeTint="FE" w:themeShade="95"/>
        <w:sz w:val="22"/>
      </w:rPr>
      <w:pPr>
        <w:pBdr/>
        <w:spacing/>
        <w:ind/>
        <w:jc w:val="right"/>
      </w:pPr>
      <w:tblPr>
        <w:tblBorders/>
      </w:tblPr>
      <w:tcPr>
        <w:shd w:color="ffffff"/>
        <w:tcBorders>
          <w:top w:val="none"/>
          <w:left w:val="none"/>
          <w:bottom w:val="none"/>
          <w:right w:val="single" w:color="000000" w:themeColor="accent3" w:themeTint="FE" w:sz="4" w:space="0"/>
        </w:tcBorders>
      </w:tcPr>
    </w:tblStylePr>
    <w:tblStylePr w:type="fir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606060" w:themeColor="accent3" w:themeTint="FE" w:themeShade="95"/>
        <w:sz w:val="22"/>
      </w:rPr>
      <w:pPr>
        <w:pBdr/>
        <w:spacing/>
        <w:ind/>
      </w:pPr>
      <w:tblPr>
        <w:tblBorders/>
      </w:tblPr>
      <w:tcPr>
        <w:shd w:color="ffffff"/>
        <w:tcBorders>
          <w:top w:val="none"/>
          <w:left w:val="single" w:color="000000" w:themeColor="accent3" w:themeTint="FE" w:sz="4" w:space="0"/>
          <w:bottom w:val="none"/>
          <w:right w:val="none"/>
        </w:tcBorders>
      </w:tcPr>
    </w:tblStylePr>
    <w:tblStylePr w:type="la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4">
    <w:name w:val="Grid Table 7 Colorful - Accent 4"/>
    <w:basedOn w:val="630"/>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d09d00"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5">
    <w:name w:val="Grid Table 7 Colorful - Accent 5"/>
    <w:basedOn w:val="630"/>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54275"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254275"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54275" w:themeColor="accent5" w:themeShade="95"/>
        <w:sz w:val="22"/>
      </w:rPr>
      <w:pPr>
        <w:pBdr/>
        <w:spacing/>
        <w:ind/>
        <w:jc w:val="right"/>
      </w:pPr>
      <w:tblPr>
        <w:tblBorders/>
      </w:tblPr>
      <w:tcPr>
        <w:shd w:color="ffffff"/>
        <w:tcBorders>
          <w:top w:val="none"/>
          <w:left w:val="none"/>
          <w:bottom w:val="none"/>
          <w:right w:val="single" w:color="000000" w:themeColor="accent5" w:themeTint="90" w:sz="4" w:space="0"/>
        </w:tcBorders>
      </w:tcPr>
    </w:tblStylePr>
    <w:tblStylePr w:type="firstRow">
      <w:rPr>
        <w:rFonts w:ascii="Arial" w:hAnsi="Arial"/>
        <w:b/>
        <w:color w:val="254275" w:themeColor="accent5" w:themeShade="95"/>
        <w:sz w:val="22"/>
      </w:rPr>
      <w:pPr>
        <w:pBdr/>
        <w:spacing/>
        <w:ind/>
      </w:pPr>
      <w:tblPr>
        <w:tblBorders/>
      </w:tbl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54275" w:themeColor="accent5" w:themeShade="95"/>
        <w:sz w:val="22"/>
      </w:rPr>
      <w:pPr>
        <w:pBdr/>
        <w:spacing/>
        <w:ind/>
      </w:pPr>
      <w:tblPr>
        <w:tblBorders/>
      </w:tblPr>
      <w:tcPr>
        <w:shd w:color="ffffff"/>
        <w:tcBorders>
          <w:top w:val="none"/>
          <w:left w:val="single" w:color="000000" w:themeColor="accent5" w:themeTint="90" w:sz="4" w:space="0"/>
          <w:bottom w:val="none"/>
          <w:right w:val="none"/>
        </w:tcBorders>
      </w:tcPr>
    </w:tblStylePr>
    <w:tblStylePr w:type="lastRow">
      <w:rPr>
        <w:rFonts w:ascii="Arial" w:hAnsi="Arial"/>
        <w:b/>
        <w:color w:val="254275"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6">
    <w:name w:val="Grid Table 7 Colorful - Accent 6"/>
    <w:basedOn w:val="630"/>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16529" w:themeColor="accent6"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165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16529" w:themeColor="accent6" w:themeShade="95"/>
        <w:sz w:val="22"/>
      </w:rPr>
      <w:pPr>
        <w:pBdr/>
        <w:spacing/>
        <w:ind/>
        <w:jc w:val="right"/>
      </w:pPr>
      <w:tblPr>
        <w:tblBorders/>
      </w:tblPr>
      <w:tcPr>
        <w:shd w:color="ffffff"/>
        <w:tcBorders>
          <w:top w:val="none"/>
          <w:left w:val="none"/>
          <w:bottom w:val="none"/>
          <w:right w:val="single" w:color="000000" w:themeColor="accent6" w:themeTint="90" w:sz="4" w:space="0"/>
        </w:tcBorders>
      </w:tcPr>
    </w:tblStylePr>
    <w:tblStylePr w:type="firstRow">
      <w:rPr>
        <w:rFonts w:ascii="Arial" w:hAnsi="Arial"/>
        <w:b/>
        <w:color w:val="416529" w:themeColor="accent6" w:themeShade="95"/>
        <w:sz w:val="22"/>
      </w:rPr>
      <w:pPr>
        <w:pBdr/>
        <w:spacing/>
        <w:ind/>
      </w:pPr>
      <w:tblPr>
        <w:tblBorders/>
      </w:tbl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416529" w:themeColor="accent6" w:themeShade="95"/>
        <w:sz w:val="22"/>
      </w:rPr>
      <w:pPr>
        <w:pBdr/>
        <w:spacing/>
        <w:ind/>
      </w:pPr>
      <w:tblPr>
        <w:tblBorders/>
      </w:tblPr>
      <w:tcPr>
        <w:shd w:color="ffffff"/>
        <w:tcBorders>
          <w:top w:val="none"/>
          <w:left w:val="single" w:color="000000" w:themeColor="accent6" w:themeTint="90" w:sz="4" w:space="0"/>
          <w:bottom w:val="none"/>
          <w:right w:val="none"/>
        </w:tcBorders>
      </w:tcPr>
    </w:tblStylePr>
    <w:tblStylePr w:type="lastRow">
      <w:rPr>
        <w:rFonts w:ascii="Arial" w:hAnsi="Arial"/>
        <w:b/>
        <w:color w:val="416529"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7">
    <w:name w:val="List Table 1 Light"/>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8">
    <w:name w:val="List Table 1 Light - Accent 1"/>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9">
    <w:name w:val="List Table 1 Light - Accent 2"/>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0">
    <w:name w:val="List Table 1 Light - Accent 3"/>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1">
    <w:name w:val="List Table 1 Light - Accent 4"/>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2">
    <w:name w:val="List Table 1 Light - Accent 5"/>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3">
    <w:name w:val="List Table 1 Light - Accent 6"/>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
    <w:name w:val="List Table 2"/>
    <w:basedOn w:val="630"/>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
    <w:name w:val="List Table 2 - Accent 1"/>
    <w:basedOn w:val="630"/>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
    <w:name w:val="List Table 2 - Accent 2"/>
    <w:basedOn w:val="630"/>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
    <w:name w:val="List Table 2 - Accent 3"/>
    <w:basedOn w:val="630"/>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
    <w:name w:val="List Table 2 - Accent 4"/>
    <w:basedOn w:val="630"/>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
    <w:name w:val="List Table 2 - Accent 5"/>
    <w:basedOn w:val="630"/>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
    <w:name w:val="List Table 2 - Accent 6"/>
    <w:basedOn w:val="630"/>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
    <w:name w:val="List Table 3"/>
    <w:basedOn w:val="630"/>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
    <w:name w:val="List Table 3 - Accent 1"/>
    <w:basedOn w:val="630"/>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
    <w:name w:val="List Table 3 - Accent 2"/>
    <w:basedOn w:val="630"/>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
    <w:name w:val="List Table 3 - Accent 3"/>
    <w:basedOn w:val="630"/>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9c9c9"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
    <w:name w:val="List Table 3 - Accent 4"/>
    <w:basedOn w:val="630"/>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
    <w:name w:val="List Table 3 - Accent 5"/>
    <w:basedOn w:val="630"/>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8eaadb"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
    <w:name w:val="List Table 3 - Accent 6"/>
    <w:basedOn w:val="630"/>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a9d18f"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
    <w:name w:val="List Table 4"/>
    <w:basedOn w:val="630"/>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
    <w:name w:val="List Table 4 - Accent 1"/>
    <w:basedOn w:val="630"/>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
    <w:name w:val="List Table 4 - Accent 2"/>
    <w:basedOn w:val="630"/>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
    <w:name w:val="List Table 4 - Accent 3"/>
    <w:basedOn w:val="630"/>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
    <w:name w:val="List Table 4 - Accent 4"/>
    <w:basedOn w:val="630"/>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
    <w:name w:val="List Table 4 - Accent 5"/>
    <w:basedOn w:val="630"/>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
    <w:name w:val="List Table 4 - Accent 6"/>
    <w:basedOn w:val="630"/>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
    <w:name w:val="List Table 5 Dark"/>
    <w:basedOn w:val="630"/>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6">
    <w:name w:val="List Table 5 Dark - Accent 1"/>
    <w:basedOn w:val="630"/>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cPr>
      <w:tcBorders/>
    </w:tcPr>
    <w:tblStylePr w:type="band1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5b9bd5"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5b9bd5"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7">
    <w:name w:val="List Table 5 Dark - Accent 2"/>
    <w:basedOn w:val="630"/>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285" w:themeFill="accent2" w:themeFillTint="97"/>
    </w:tblPr>
    <w:tcPr>
      <w:tcBorders/>
    </w:tcPr>
    <w:tblStylePr w:type="band1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f4b285"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f4b285"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8">
    <w:name w:val="List Table 5 Dark - Accent 3"/>
    <w:basedOn w:val="630"/>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cPr>
      <w:tcBorders/>
    </w:tcPr>
    <w:tblStylePr w:type="band1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9">
    <w:name w:val="List Table 5 Dark - Accent 4"/>
    <w:basedOn w:val="630"/>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965" w:themeFill="accent4" w:themeFillTint="9A"/>
    </w:tblPr>
    <w:tcPr>
      <w:tcBorders/>
    </w:tcPr>
    <w:tblStylePr w:type="band1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ffd965"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ffd965"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0">
    <w:name w:val="List Table 5 Dark - Accent 5"/>
    <w:basedOn w:val="630"/>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adb" w:themeFill="accent5" w:themeFillTint="9A"/>
    </w:tblPr>
    <w:tcPr>
      <w:tcBorders/>
    </w:tcPr>
    <w:tblStylePr w:type="band1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8eaadb"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8eaadb"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1">
    <w:name w:val="List Table 5 Dark - Accent 6"/>
    <w:basedOn w:val="630"/>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9d18f" w:themeFill="accent6" w:themeFillTint="98"/>
    </w:tblPr>
    <w:tcPr>
      <w:tcBorders/>
    </w:tcPr>
    <w:tblStylePr w:type="band1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a9d18f"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a9d18f"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2">
    <w:name w:val="List Table 6 Colorful"/>
    <w:basedOn w:val="630"/>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3">
    <w:name w:val="List Table 6 Colorful - Accent 1"/>
    <w:basedOn w:val="630"/>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1" w:themeShade="95"/>
      </w:rPr>
      <w:pPr>
        <w:pBdr/>
        <w:spacing/>
        <w:ind/>
      </w:pPr>
      <w:tblPr>
        <w:tblBorders/>
      </w:tblPr>
      <w:tcPr>
        <w:tcBorders/>
      </w:tcPr>
    </w:tblStylePr>
    <w:tblStylePr w:type="firstRow">
      <w:rPr>
        <w:b/>
        <w:color w:val="245b8d" w:themeColor="accent1" w:themeShade="95"/>
      </w:rPr>
      <w:pPr>
        <w:pBdr/>
        <w:spacing/>
        <w:ind/>
      </w:pPr>
      <w:tblPr>
        <w:tblBorders/>
      </w:tblPr>
      <w:tcPr>
        <w:tcBorders>
          <w:bottom w:val="single" w:color="000000" w:themeColor="accent1" w:sz="4" w:space="0"/>
        </w:tcBorders>
      </w:tcPr>
    </w:tblStylePr>
    <w:tblStylePr w:type="lastCol">
      <w:rPr>
        <w:b/>
        <w:color w:val="245b8d" w:themeColor="accent1" w:themeShade="95"/>
      </w:rPr>
      <w:pPr>
        <w:pBdr/>
        <w:spacing/>
        <w:ind/>
      </w:pPr>
      <w:tblPr>
        <w:tblBorders/>
      </w:tblPr>
      <w:tcPr>
        <w:tcBorders/>
      </w:tcPr>
    </w:tblStylePr>
    <w:tblStylePr w:type="lastRow">
      <w:rPr>
        <w:b/>
        <w:color w:val="245b8d"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4">
    <w:name w:val="List Table 6 Colorful - Accent 2"/>
    <w:basedOn w:val="630"/>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4"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5">
    <w:name w:val="List Table 6 Colorful - Accent 3"/>
    <w:basedOn w:val="630"/>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57575" w:themeColor="accent3" w:themeTint="98" w:themeShade="95"/>
      </w:rPr>
      <w:pPr>
        <w:pBdr/>
        <w:spacing/>
        <w:ind/>
      </w:pPr>
      <w:tblPr>
        <w:tblBorders/>
      </w:tblPr>
      <w:tcPr>
        <w:tcBorders/>
      </w:tcPr>
    </w:tblStylePr>
    <w:tblStylePr w:type="firstRow">
      <w:rPr>
        <w:b/>
        <w:color w:val="757575" w:themeColor="accent3" w:themeTint="98" w:themeShade="95"/>
      </w:rPr>
      <w:pPr>
        <w:pBdr/>
        <w:spacing/>
        <w:ind/>
      </w:pPr>
      <w:tblPr>
        <w:tblBorders/>
      </w:tblPr>
      <w:tcPr>
        <w:tcBorders>
          <w:bottom w:val="single" w:color="000000" w:themeColor="accent3" w:themeTint="98" w:sz="4" w:space="0"/>
        </w:tcBorders>
      </w:tcPr>
    </w:tblStylePr>
    <w:tblStylePr w:type="lastCol">
      <w:rPr>
        <w:b/>
        <w:color w:val="757575" w:themeColor="accent3" w:themeTint="98" w:themeShade="95"/>
      </w:rPr>
      <w:pPr>
        <w:pBdr/>
        <w:spacing/>
        <w:ind/>
      </w:pPr>
      <w:tblPr>
        <w:tblBorders/>
      </w:tblPr>
      <w:tcPr>
        <w:tcBorders/>
      </w:tcPr>
    </w:tblStylePr>
    <w:tblStylePr w:type="lastRow">
      <w:rPr>
        <w:b/>
        <w:color w:val="757575"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6">
    <w:name w:val="List Table 6 Colorful - Accent 4"/>
    <w:basedOn w:val="630"/>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4"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7">
    <w:name w:val="List Table 6 Colorful - Accent 5"/>
    <w:basedOn w:val="630"/>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35ba0" w:themeColor="accent5" w:themeTint="9A" w:themeShade="95"/>
      </w:rPr>
      <w:pPr>
        <w:pBdr/>
        <w:spacing/>
        <w:ind/>
      </w:pPr>
      <w:tblPr>
        <w:tblBorders/>
      </w:tblPr>
      <w:tcPr>
        <w:tcBorders/>
      </w:tcPr>
    </w:tblStylePr>
    <w:tblStylePr w:type="firstRow">
      <w:rPr>
        <w:b/>
        <w:color w:val="335ba0" w:themeColor="accent5" w:themeTint="9A" w:themeShade="95"/>
      </w:rPr>
      <w:pPr>
        <w:pBdr/>
        <w:spacing/>
        <w:ind/>
      </w:pPr>
      <w:tblPr>
        <w:tblBorders/>
      </w:tblPr>
      <w:tcPr>
        <w:tcBorders>
          <w:bottom w:val="single" w:color="000000" w:themeColor="accent5" w:themeTint="9A" w:sz="4" w:space="0"/>
        </w:tcBorders>
      </w:tcPr>
    </w:tblStylePr>
    <w:tblStylePr w:type="lastCol">
      <w:rPr>
        <w:b/>
        <w:color w:val="335ba0" w:themeColor="accent5" w:themeTint="9A" w:themeShade="95"/>
      </w:rPr>
      <w:pPr>
        <w:pBdr/>
        <w:spacing/>
        <w:ind/>
      </w:pPr>
      <w:tblPr>
        <w:tblBorders/>
      </w:tblPr>
      <w:tcPr>
        <w:tcBorders/>
      </w:tcPr>
    </w:tblStylePr>
    <w:tblStylePr w:type="lastRow">
      <w:rPr>
        <w:b/>
        <w:color w:val="335ba0"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8">
    <w:name w:val="List Table 6 Colorful - Accent 6"/>
    <w:basedOn w:val="630"/>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e923c" w:themeColor="accent6" w:themeTint="98" w:themeShade="95"/>
      </w:rPr>
      <w:pPr>
        <w:pBdr/>
        <w:spacing/>
        <w:ind/>
      </w:pPr>
      <w:tblPr>
        <w:tblBorders/>
      </w:tblPr>
      <w:tcPr>
        <w:tcBorders/>
      </w:tcPr>
    </w:tblStylePr>
    <w:tblStylePr w:type="firstRow">
      <w:rPr>
        <w:b/>
        <w:color w:val="5e923c" w:themeColor="accent6" w:themeTint="98" w:themeShade="95"/>
      </w:rPr>
      <w:pPr>
        <w:pBdr/>
        <w:spacing/>
        <w:ind/>
      </w:pPr>
      <w:tblPr>
        <w:tblBorders/>
      </w:tblPr>
      <w:tcPr>
        <w:tcBorders>
          <w:bottom w:val="single" w:color="000000" w:themeColor="accent6" w:themeTint="98" w:sz="4" w:space="0"/>
        </w:tcBorders>
      </w:tcPr>
    </w:tblStylePr>
    <w:tblStylePr w:type="lastCol">
      <w:rPr>
        <w:b/>
        <w:color w:val="5e923c" w:themeColor="accent6" w:themeTint="98" w:themeShade="95"/>
      </w:rPr>
      <w:pPr>
        <w:pBdr/>
        <w:spacing/>
        <w:ind/>
      </w:pPr>
      <w:tblPr>
        <w:tblBorders/>
      </w:tblPr>
      <w:tcPr>
        <w:tcBorders/>
      </w:tcPr>
    </w:tblStylePr>
    <w:tblStylePr w:type="lastRow">
      <w:rPr>
        <w:b/>
        <w:color w:val="5e923c"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9">
    <w:name w:val="List Table 7 Colorful"/>
    <w:basedOn w:val="630"/>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110">
    <w:name w:val="List Table 7 Colorful - Accent 1"/>
    <w:basedOn w:val="630"/>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45b8d"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245b8d"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45b8d" w:themeColor="accent1" w:themeShade="95"/>
        <w:sz w:val="22"/>
      </w:rPr>
      <w:pPr>
        <w:pBdr/>
        <w:spacing/>
        <w:ind/>
        <w:jc w:val="right"/>
      </w:pPr>
      <w:tblPr>
        <w:tblBorders/>
      </w:tblPr>
      <w:tcPr>
        <w:shd w:color="ffffff"/>
        <w:tcBorders>
          <w:top w:val="none"/>
          <w:left w:val="none"/>
          <w:bottom w:val="none"/>
          <w:right w:val="single" w:color="000000" w:themeColor="accent1" w:sz="4" w:space="0"/>
        </w:tcBorders>
      </w:tcPr>
    </w:tblStylePr>
    <w:tblStylePr w:type="firstRow">
      <w:rPr>
        <w:rFonts w:ascii="Arial" w:hAnsi="Arial"/>
        <w:i/>
        <w:color w:val="245b8d" w:themeColor="accent1" w:themeShade="95"/>
        <w:sz w:val="22"/>
      </w:rPr>
      <w:pPr>
        <w:pBdr/>
        <w:spacing/>
        <w:ind/>
      </w:pPr>
      <w:tblPr>
        <w:tblBorders/>
      </w:tbl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45b8d" w:themeColor="accent1" w:themeShade="95"/>
        <w:sz w:val="22"/>
      </w:rPr>
      <w:pPr>
        <w:pBdr/>
        <w:spacing/>
        <w:ind/>
      </w:pPr>
      <w:tblPr>
        <w:tblBorders/>
      </w:tblPr>
      <w:tcPr>
        <w:shd w:color="ffffff"/>
        <w:tcBorders>
          <w:top w:val="none"/>
          <w:left w:val="single" w:color="000000" w:themeColor="accent1" w:sz="4" w:space="0"/>
          <w:bottom w:val="none"/>
          <w:right w:val="none"/>
        </w:tcBorders>
      </w:tcPr>
    </w:tblStylePr>
    <w:tblStylePr w:type="lastRow">
      <w:rPr>
        <w:rFonts w:ascii="Arial" w:hAnsi="Arial"/>
        <w:i/>
        <w:color w:val="245b8d" w:themeColor="accent1" w:themeShade="95"/>
        <w:sz w:val="22"/>
      </w:rPr>
      <w:pPr>
        <w:pBdr/>
        <w:spacing/>
        <w:ind/>
      </w:pPr>
      <w:tblPr>
        <w:tblBorders/>
      </w:tblPr>
      <w:tcPr>
        <w:shd w:val="clear" w:color="ffffff" w:themeColor="light1" w:fill="ffffff" w:themeFill="light1"/>
        <w:tcBorders>
          <w:top w:val="single" w:color="000000" w:themeColor="accent1"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45b8d" w:themeColor="accent1" w:themeShade="95"/>
        <w:sz w:val="22"/>
      </w:rPr>
      <w:pPr>
        <w:pBdr/>
        <w:spacing/>
        <w:ind/>
      </w:pPr>
      <w:tblPr>
        <w:tblBorders/>
      </w:tblPr>
      <w:tcPr>
        <w:tcBorders/>
      </w:tcPr>
    </w:tblStylePr>
  </w:style>
  <w:style w:type="table" w:styleId="111">
    <w:name w:val="List Table 7 Colorful - Accent 2"/>
    <w:basedOn w:val="630"/>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a5d12"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ca5d12" w:themeColor="accent2" w:themeTint="97" w:themeShade="95"/>
        <w:sz w:val="22"/>
      </w:rPr>
      <w:pPr>
        <w:pBdr/>
        <w:spacing/>
        <w:ind/>
      </w:pPr>
      <w:tblPr>
        <w:tblBorders/>
      </w:tblPr>
      <w:tcPr>
        <w:tcBorders/>
      </w:tcPr>
    </w:tblStylePr>
  </w:style>
  <w:style w:type="table" w:styleId="112">
    <w:name w:val="List Table 7 Colorful - Accent 3"/>
    <w:basedOn w:val="630"/>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57575"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757575"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57575" w:themeColor="accent3" w:themeTint="98" w:themeShade="95"/>
        <w:sz w:val="22"/>
      </w:rPr>
      <w:pPr>
        <w:pBdr/>
        <w:spacing/>
        <w:ind/>
        <w:jc w:val="right"/>
      </w:pPr>
      <w:tblPr>
        <w:tblBorders/>
      </w:tblPr>
      <w:tcPr>
        <w:shd w:color="ffffff"/>
        <w:tcBorders>
          <w:top w:val="none"/>
          <w:left w:val="none"/>
          <w:bottom w:val="none"/>
          <w:right w:val="single" w:color="000000" w:themeColor="accent3" w:themeTint="98" w:sz="4" w:space="0"/>
        </w:tcBorders>
      </w:tcPr>
    </w:tblStylePr>
    <w:tblStylePr w:type="fir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57575" w:themeColor="accent3" w:themeTint="98" w:themeShade="95"/>
        <w:sz w:val="22"/>
      </w:rPr>
      <w:pPr>
        <w:pBdr/>
        <w:spacing/>
        <w:ind/>
      </w:pPr>
      <w:tblPr>
        <w:tblBorders/>
      </w:tblPr>
      <w:tcPr>
        <w:shd w:color="ffffff"/>
        <w:tcBorders>
          <w:top w:val="none"/>
          <w:left w:val="single" w:color="000000" w:themeColor="accent3" w:themeTint="98" w:sz="4" w:space="0"/>
          <w:bottom w:val="none"/>
          <w:right w:val="none"/>
        </w:tcBorders>
      </w:tcPr>
    </w:tblStylePr>
    <w:tblStylePr w:type="la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57575" w:themeColor="accent3" w:themeTint="98" w:themeShade="95"/>
        <w:sz w:val="22"/>
      </w:rPr>
      <w:pPr>
        <w:pBdr/>
        <w:spacing/>
        <w:ind/>
      </w:pPr>
      <w:tblPr>
        <w:tblBorders/>
      </w:tblPr>
      <w:tcPr>
        <w:tcBorders/>
      </w:tcPr>
    </w:tblStylePr>
  </w:style>
  <w:style w:type="table" w:styleId="113">
    <w:name w:val="List Table 7 Colorful - Accent 4"/>
    <w:basedOn w:val="630"/>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d09d00"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09d00" w:themeColor="accent4" w:themeTint="9A" w:themeShade="95"/>
        <w:sz w:val="22"/>
      </w:rPr>
      <w:pPr>
        <w:pBdr/>
        <w:spacing/>
        <w:ind/>
      </w:pPr>
      <w:tblPr>
        <w:tblBorders/>
      </w:tblPr>
      <w:tcPr>
        <w:tcBorders/>
      </w:tcPr>
    </w:tblStylePr>
  </w:style>
  <w:style w:type="table" w:styleId="114">
    <w:name w:val="List Table 7 Colorful - Accent 5"/>
    <w:basedOn w:val="630"/>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335ba0"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335ba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35ba0" w:themeColor="accent5" w:themeTint="9A" w:themeShade="95"/>
        <w:sz w:val="22"/>
      </w:rPr>
      <w:pPr>
        <w:pBdr/>
        <w:spacing/>
        <w:ind/>
        <w:jc w:val="right"/>
      </w:pPr>
      <w:tblPr>
        <w:tblBorders/>
      </w:tblPr>
      <w:tcPr>
        <w:shd w:color="ffffff"/>
        <w:tcBorders>
          <w:top w:val="none"/>
          <w:left w:val="none"/>
          <w:bottom w:val="none"/>
          <w:right w:val="single" w:color="000000" w:themeColor="accent5" w:themeTint="9A" w:sz="4" w:space="0"/>
        </w:tcBorders>
      </w:tcPr>
    </w:tblStylePr>
    <w:tblStylePr w:type="firstRow">
      <w:rPr>
        <w:rFonts w:ascii="Arial" w:hAnsi="Arial"/>
        <w:i/>
        <w:color w:val="335ba0" w:themeColor="accent5" w:themeTint="9A" w:themeShade="95"/>
        <w:sz w:val="22"/>
      </w:rPr>
      <w:pPr>
        <w:pBdr/>
        <w:spacing/>
        <w:ind/>
      </w:pPr>
      <w:tblPr>
        <w:tblBorders/>
      </w:tbl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335ba0" w:themeColor="accent5" w:themeTint="9A" w:themeShade="95"/>
        <w:sz w:val="22"/>
      </w:rPr>
      <w:pPr>
        <w:pBdr/>
        <w:spacing/>
        <w:ind/>
      </w:pPr>
      <w:tblPr>
        <w:tblBorders/>
      </w:tblPr>
      <w:tcPr>
        <w:shd w:color="ffffff"/>
        <w:tcBorders>
          <w:top w:val="none"/>
          <w:left w:val="single" w:color="000000" w:themeColor="accent5" w:themeTint="9A" w:sz="4" w:space="0"/>
          <w:bottom w:val="none"/>
          <w:right w:val="none"/>
        </w:tcBorders>
      </w:tcPr>
    </w:tblStylePr>
    <w:tblStylePr w:type="lastRow">
      <w:rPr>
        <w:rFonts w:ascii="Arial" w:hAnsi="Arial"/>
        <w:i/>
        <w:color w:val="335ba0"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335ba0" w:themeColor="accent5" w:themeTint="9A" w:themeShade="95"/>
        <w:sz w:val="22"/>
      </w:rPr>
      <w:pPr>
        <w:pBdr/>
        <w:spacing/>
        <w:ind/>
      </w:pPr>
      <w:tblPr>
        <w:tblBorders/>
      </w:tblPr>
      <w:tcPr>
        <w:tcBorders/>
      </w:tcPr>
    </w:tblStylePr>
  </w:style>
  <w:style w:type="table" w:styleId="115">
    <w:name w:val="List Table 7 Colorful - Accent 6"/>
    <w:basedOn w:val="630"/>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5e923c"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5e92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e923c" w:themeColor="accent6" w:themeTint="98" w:themeShade="95"/>
        <w:sz w:val="22"/>
      </w:rPr>
      <w:pPr>
        <w:pBdr/>
        <w:spacing/>
        <w:ind/>
        <w:jc w:val="right"/>
      </w:pPr>
      <w:tblPr>
        <w:tblBorders/>
      </w:tblPr>
      <w:tcPr>
        <w:shd w:color="ffffff"/>
        <w:tcBorders>
          <w:top w:val="none"/>
          <w:left w:val="none"/>
          <w:bottom w:val="none"/>
          <w:right w:val="single" w:color="000000" w:themeColor="accent6" w:themeTint="98" w:sz="4" w:space="0"/>
        </w:tcBorders>
      </w:tcPr>
    </w:tblStylePr>
    <w:tblStylePr w:type="fir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5e923c" w:themeColor="accent6" w:themeTint="98" w:themeShade="95"/>
        <w:sz w:val="22"/>
      </w:rPr>
      <w:pPr>
        <w:pBdr/>
        <w:spacing/>
        <w:ind/>
      </w:pPr>
      <w:tblPr>
        <w:tblBorders/>
      </w:tblPr>
      <w:tcPr>
        <w:shd w:color="ffffff"/>
        <w:tcBorders>
          <w:top w:val="none"/>
          <w:left w:val="single" w:color="000000" w:themeColor="accent6" w:themeTint="98" w:sz="4" w:space="0"/>
          <w:bottom w:val="none"/>
          <w:right w:val="none"/>
        </w:tcBorders>
      </w:tcPr>
    </w:tblStylePr>
    <w:tblStylePr w:type="la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5e923c" w:themeColor="accent6" w:themeTint="98" w:themeShade="95"/>
        <w:sz w:val="22"/>
      </w:rPr>
      <w:pPr>
        <w:pBdr/>
        <w:spacing/>
        <w:ind/>
      </w:pPr>
      <w:tblPr>
        <w:tblBorders/>
      </w:tblPr>
      <w:tcPr>
        <w:tcBorders/>
      </w:tcPr>
    </w:tblStylePr>
  </w:style>
  <w:style w:type="table" w:styleId="116">
    <w:name w:val="Lined - Accent"/>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
    <w:name w:val="Lined - Accent 1"/>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
    <w:name w:val="Lined - Accent 2"/>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
    <w:name w:val="Lined - Accent 3"/>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
    <w:name w:val="Lined - Accent 4"/>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
    <w:name w:val="Lined - Accent 5"/>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
    <w:name w:val="Lined - Accent 6"/>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
    <w:name w:val="Bordered &amp; Lined - Accent"/>
    <w:basedOn w:val="630"/>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
    <w:name w:val="Bordered &amp; Lined - Accent 1"/>
    <w:basedOn w:val="630"/>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
    <w:name w:val="Bordered &amp; Lined - Accent 2"/>
    <w:basedOn w:val="630"/>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6">
    <w:name w:val="Bordered &amp; Lined - Accent 3"/>
    <w:basedOn w:val="630"/>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
    <w:name w:val="Bordered &amp; Lined - Accent 4"/>
    <w:basedOn w:val="630"/>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
    <w:name w:val="Bordered &amp; Lined - Accent 5"/>
    <w:basedOn w:val="630"/>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9">
    <w:name w:val="Bordered &amp; Lined - Accent 6"/>
    <w:basedOn w:val="630"/>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0">
    <w:name w:val="Bordered"/>
    <w:basedOn w:val="630"/>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1">
    <w:name w:val="Bordered - Accent 1"/>
    <w:basedOn w:val="630"/>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2">
    <w:name w:val="Bordered - Accent 2"/>
    <w:basedOn w:val="630"/>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3">
    <w:name w:val="Bordered - Accent 3"/>
    <w:basedOn w:val="630"/>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4">
    <w:name w:val="Bordered - Accent 4"/>
    <w:basedOn w:val="630"/>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
    <w:name w:val="Bordered - Accent 5"/>
    <w:basedOn w:val="630"/>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
    <w:name w:val="Bordered - Accent 6"/>
    <w:basedOn w:val="630"/>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38">
    <w:name w:val="Heading 1"/>
    <w:basedOn w:val="629"/>
    <w:next w:val="629"/>
    <w:link w:val="149"/>
    <w:uiPriority w:val="9"/>
    <w:qFormat/>
    <w:pPr>
      <w:keepNext w:val="true"/>
      <w:keepLines w:val="true"/>
      <w:pBdr/>
      <w:spacing w:after="80" w:before="360"/>
      <w:ind/>
      <w:outlineLvl w:val="0"/>
    </w:pPr>
    <w:rPr>
      <w:rFonts w:ascii="Arial" w:hAnsi="Arial" w:eastAsia="Arial" w:cs="Arial"/>
      <w:color w:val="0f4761" w:themeColor="accent1" w:themeShade="BF"/>
      <w:sz w:val="40"/>
      <w:szCs w:val="40"/>
    </w:rPr>
  </w:style>
  <w:style w:type="paragraph" w:styleId="139">
    <w:name w:val="Heading 2"/>
    <w:basedOn w:val="629"/>
    <w:next w:val="629"/>
    <w:link w:val="150"/>
    <w:uiPriority w:val="9"/>
    <w:unhideWhenUsed/>
    <w:qFormat/>
    <w:pPr>
      <w:keepNext w:val="true"/>
      <w:keepLines w:val="true"/>
      <w:pBdr/>
      <w:spacing w:after="80" w:before="160"/>
      <w:ind/>
      <w:outlineLvl w:val="1"/>
    </w:pPr>
    <w:rPr>
      <w:rFonts w:ascii="Arial" w:hAnsi="Arial" w:eastAsia="Arial" w:cs="Arial"/>
      <w:color w:val="0f4761" w:themeColor="accent1" w:themeShade="BF"/>
      <w:sz w:val="32"/>
      <w:szCs w:val="32"/>
    </w:rPr>
  </w:style>
  <w:style w:type="paragraph" w:styleId="140">
    <w:name w:val="Heading 3"/>
    <w:basedOn w:val="629"/>
    <w:next w:val="629"/>
    <w:link w:val="151"/>
    <w:uiPriority w:val="9"/>
    <w:unhideWhenUsed/>
    <w:qFormat/>
    <w:pPr>
      <w:keepNext w:val="true"/>
      <w:keepLines w:val="true"/>
      <w:pBdr/>
      <w:spacing w:after="80" w:before="160"/>
      <w:ind/>
      <w:outlineLvl w:val="2"/>
    </w:pPr>
    <w:rPr>
      <w:rFonts w:ascii="Arial" w:hAnsi="Arial" w:eastAsia="Arial" w:cs="Arial"/>
      <w:color w:val="0f4761" w:themeColor="accent1" w:themeShade="BF"/>
      <w:sz w:val="28"/>
      <w:szCs w:val="28"/>
    </w:rPr>
  </w:style>
  <w:style w:type="paragraph" w:styleId="141">
    <w:name w:val="Heading 4"/>
    <w:basedOn w:val="629"/>
    <w:next w:val="629"/>
    <w:link w:val="152"/>
    <w:uiPriority w:val="9"/>
    <w:unhideWhenUsed/>
    <w:qFormat/>
    <w:pPr>
      <w:keepNext w:val="true"/>
      <w:keepLines w:val="true"/>
      <w:pBdr/>
      <w:spacing w:after="40" w:before="80"/>
      <w:ind/>
      <w:outlineLvl w:val="3"/>
    </w:pPr>
    <w:rPr>
      <w:rFonts w:ascii="Arial" w:hAnsi="Arial" w:eastAsia="Arial" w:cs="Arial"/>
      <w:i/>
      <w:iCs/>
      <w:color w:val="0f4761" w:themeColor="accent1" w:themeShade="BF"/>
    </w:rPr>
  </w:style>
  <w:style w:type="paragraph" w:styleId="142">
    <w:name w:val="Heading 5"/>
    <w:basedOn w:val="629"/>
    <w:next w:val="629"/>
    <w:link w:val="153"/>
    <w:uiPriority w:val="9"/>
    <w:unhideWhenUsed/>
    <w:qFormat/>
    <w:pPr>
      <w:keepNext w:val="true"/>
      <w:keepLines w:val="true"/>
      <w:pBdr/>
      <w:spacing w:after="40" w:before="80"/>
      <w:ind/>
      <w:outlineLvl w:val="4"/>
    </w:pPr>
    <w:rPr>
      <w:rFonts w:ascii="Arial" w:hAnsi="Arial" w:eastAsia="Arial" w:cs="Arial"/>
      <w:color w:val="0f4761" w:themeColor="accent1" w:themeShade="BF"/>
    </w:rPr>
  </w:style>
  <w:style w:type="paragraph" w:styleId="143">
    <w:name w:val="Heading 6"/>
    <w:basedOn w:val="629"/>
    <w:next w:val="629"/>
    <w:link w:val="154"/>
    <w:uiPriority w:val="9"/>
    <w:unhideWhenUsed/>
    <w:qFormat/>
    <w:pPr>
      <w:keepNext w:val="true"/>
      <w:keepLines w:val="true"/>
      <w:pBdr/>
      <w:spacing w:after="0" w:before="40"/>
      <w:ind/>
      <w:outlineLvl w:val="5"/>
    </w:pPr>
    <w:rPr>
      <w:rFonts w:ascii="Arial" w:hAnsi="Arial" w:eastAsia="Arial" w:cs="Arial"/>
      <w:i/>
      <w:iCs/>
      <w:color w:val="595959" w:themeColor="text1" w:themeTint="A6"/>
    </w:rPr>
  </w:style>
  <w:style w:type="paragraph" w:styleId="144">
    <w:name w:val="Heading 7"/>
    <w:basedOn w:val="629"/>
    <w:next w:val="629"/>
    <w:link w:val="155"/>
    <w:uiPriority w:val="9"/>
    <w:unhideWhenUsed/>
    <w:qFormat/>
    <w:pPr>
      <w:keepNext w:val="true"/>
      <w:keepLines w:val="true"/>
      <w:pBdr/>
      <w:spacing w:after="0" w:before="40"/>
      <w:ind/>
      <w:outlineLvl w:val="6"/>
    </w:pPr>
    <w:rPr>
      <w:rFonts w:ascii="Arial" w:hAnsi="Arial" w:eastAsia="Arial" w:cs="Arial"/>
      <w:color w:val="595959" w:themeColor="text1" w:themeTint="A6"/>
    </w:rPr>
  </w:style>
  <w:style w:type="paragraph" w:styleId="145">
    <w:name w:val="Heading 8"/>
    <w:basedOn w:val="629"/>
    <w:next w:val="629"/>
    <w:link w:val="156"/>
    <w:uiPriority w:val="9"/>
    <w:unhideWhenUsed/>
    <w:qFormat/>
    <w:pPr>
      <w:keepNext w:val="true"/>
      <w:keepLines w:val="true"/>
      <w:pBdr/>
      <w:spacing w:after="0"/>
      <w:ind/>
      <w:outlineLvl w:val="7"/>
    </w:pPr>
    <w:rPr>
      <w:rFonts w:ascii="Arial" w:hAnsi="Arial" w:eastAsia="Arial" w:cs="Arial"/>
      <w:i/>
      <w:iCs/>
      <w:color w:val="272727" w:themeColor="text1" w:themeTint="D8"/>
    </w:rPr>
  </w:style>
  <w:style w:type="paragraph" w:styleId="146">
    <w:name w:val="Heading 9"/>
    <w:basedOn w:val="629"/>
    <w:next w:val="629"/>
    <w:link w:val="157"/>
    <w:uiPriority w:val="9"/>
    <w:unhideWhenUsed/>
    <w:qFormat/>
    <w:pPr>
      <w:keepNext w:val="true"/>
      <w:keepLines w:val="true"/>
      <w:pBdr/>
      <w:spacing w:after="0"/>
      <w:ind/>
      <w:outlineLvl w:val="8"/>
    </w:pPr>
    <w:rPr>
      <w:rFonts w:ascii="Arial" w:hAnsi="Arial" w:eastAsia="Arial" w:cs="Arial"/>
      <w:i/>
      <w:iCs/>
      <w:color w:val="272727" w:themeColor="text1" w:themeTint="D8"/>
    </w:rPr>
  </w:style>
  <w:style w:type="character" w:styleId="147" w:default="1">
    <w:name w:val="Default Paragraph Font"/>
    <w:uiPriority w:val="1"/>
    <w:semiHidden/>
    <w:unhideWhenUsed/>
    <w:pPr>
      <w:pBdr/>
      <w:spacing/>
      <w:ind/>
    </w:pPr>
  </w:style>
  <w:style w:type="character" w:styleId="149">
    <w:name w:val="Heading 1 Char"/>
    <w:basedOn w:val="147"/>
    <w:link w:val="138"/>
    <w:uiPriority w:val="9"/>
    <w:pPr>
      <w:pBdr/>
      <w:spacing/>
      <w:ind/>
    </w:pPr>
    <w:rPr>
      <w:rFonts w:ascii="Arial" w:hAnsi="Arial" w:eastAsia="Arial" w:cs="Arial"/>
      <w:color w:val="0f4761" w:themeColor="accent1" w:themeShade="BF"/>
      <w:sz w:val="40"/>
      <w:szCs w:val="40"/>
    </w:rPr>
  </w:style>
  <w:style w:type="character" w:styleId="150">
    <w:name w:val="Heading 2 Char"/>
    <w:basedOn w:val="147"/>
    <w:link w:val="139"/>
    <w:uiPriority w:val="9"/>
    <w:pPr>
      <w:pBdr/>
      <w:spacing/>
      <w:ind/>
    </w:pPr>
    <w:rPr>
      <w:rFonts w:ascii="Arial" w:hAnsi="Arial" w:eastAsia="Arial" w:cs="Arial"/>
      <w:color w:val="0f4761" w:themeColor="accent1" w:themeShade="BF"/>
      <w:sz w:val="32"/>
      <w:szCs w:val="32"/>
    </w:rPr>
  </w:style>
  <w:style w:type="character" w:styleId="151">
    <w:name w:val="Heading 3 Char"/>
    <w:basedOn w:val="147"/>
    <w:link w:val="140"/>
    <w:uiPriority w:val="9"/>
    <w:pPr>
      <w:pBdr/>
      <w:spacing/>
      <w:ind/>
    </w:pPr>
    <w:rPr>
      <w:rFonts w:ascii="Arial" w:hAnsi="Arial" w:eastAsia="Arial" w:cs="Arial"/>
      <w:color w:val="0f4761" w:themeColor="accent1" w:themeShade="BF"/>
      <w:sz w:val="28"/>
      <w:szCs w:val="28"/>
    </w:rPr>
  </w:style>
  <w:style w:type="character" w:styleId="152">
    <w:name w:val="Heading 4 Char"/>
    <w:basedOn w:val="147"/>
    <w:link w:val="141"/>
    <w:uiPriority w:val="9"/>
    <w:pPr>
      <w:pBdr/>
      <w:spacing/>
      <w:ind/>
    </w:pPr>
    <w:rPr>
      <w:rFonts w:ascii="Arial" w:hAnsi="Arial" w:eastAsia="Arial" w:cs="Arial"/>
      <w:i/>
      <w:iCs/>
      <w:color w:val="0f4761" w:themeColor="accent1" w:themeShade="BF"/>
    </w:rPr>
  </w:style>
  <w:style w:type="character" w:styleId="153">
    <w:name w:val="Heading 5 Char"/>
    <w:basedOn w:val="147"/>
    <w:link w:val="142"/>
    <w:uiPriority w:val="9"/>
    <w:pPr>
      <w:pBdr/>
      <w:spacing/>
      <w:ind/>
    </w:pPr>
    <w:rPr>
      <w:rFonts w:ascii="Arial" w:hAnsi="Arial" w:eastAsia="Arial" w:cs="Arial"/>
      <w:color w:val="0f4761" w:themeColor="accent1" w:themeShade="BF"/>
    </w:rPr>
  </w:style>
  <w:style w:type="character" w:styleId="154">
    <w:name w:val="Heading 6 Char"/>
    <w:basedOn w:val="147"/>
    <w:link w:val="143"/>
    <w:uiPriority w:val="9"/>
    <w:pPr>
      <w:pBdr/>
      <w:spacing/>
      <w:ind/>
    </w:pPr>
    <w:rPr>
      <w:rFonts w:ascii="Arial" w:hAnsi="Arial" w:eastAsia="Arial" w:cs="Arial"/>
      <w:i/>
      <w:iCs/>
      <w:color w:val="595959" w:themeColor="text1" w:themeTint="A6"/>
    </w:rPr>
  </w:style>
  <w:style w:type="character" w:styleId="155">
    <w:name w:val="Heading 7 Char"/>
    <w:basedOn w:val="147"/>
    <w:link w:val="144"/>
    <w:uiPriority w:val="9"/>
    <w:pPr>
      <w:pBdr/>
      <w:spacing/>
      <w:ind/>
    </w:pPr>
    <w:rPr>
      <w:rFonts w:ascii="Arial" w:hAnsi="Arial" w:eastAsia="Arial" w:cs="Arial"/>
      <w:color w:val="595959" w:themeColor="text1" w:themeTint="A6"/>
    </w:rPr>
  </w:style>
  <w:style w:type="character" w:styleId="156">
    <w:name w:val="Heading 8 Char"/>
    <w:basedOn w:val="147"/>
    <w:link w:val="145"/>
    <w:uiPriority w:val="9"/>
    <w:pPr>
      <w:pBdr/>
      <w:spacing/>
      <w:ind/>
    </w:pPr>
    <w:rPr>
      <w:rFonts w:ascii="Arial" w:hAnsi="Arial" w:eastAsia="Arial" w:cs="Arial"/>
      <w:i/>
      <w:iCs/>
      <w:color w:val="272727" w:themeColor="text1" w:themeTint="D8"/>
    </w:rPr>
  </w:style>
  <w:style w:type="character" w:styleId="157">
    <w:name w:val="Heading 9 Char"/>
    <w:basedOn w:val="147"/>
    <w:link w:val="146"/>
    <w:uiPriority w:val="9"/>
    <w:pPr>
      <w:pBdr/>
      <w:spacing/>
      <w:ind/>
    </w:pPr>
    <w:rPr>
      <w:rFonts w:ascii="Arial" w:hAnsi="Arial" w:eastAsia="Arial" w:cs="Arial"/>
      <w:i/>
      <w:iCs/>
      <w:color w:val="272727" w:themeColor="text1" w:themeTint="D8"/>
    </w:rPr>
  </w:style>
  <w:style w:type="paragraph" w:styleId="158">
    <w:name w:val="Title"/>
    <w:basedOn w:val="629"/>
    <w:next w:val="629"/>
    <w:link w:val="159"/>
    <w:uiPriority w:val="10"/>
    <w:qFormat/>
    <w:pPr>
      <w:pBdr/>
      <w:spacing w:after="80" w:line="240" w:lineRule="auto"/>
      <w:ind/>
      <w:contextualSpacing w:val="true"/>
    </w:pPr>
    <w:rPr>
      <w:rFonts w:ascii="Arial" w:hAnsi="Arial" w:eastAsia="Arial" w:cs="Arial"/>
      <w:spacing w:val="-10"/>
      <w:sz w:val="56"/>
      <w:szCs w:val="56"/>
    </w:rPr>
  </w:style>
  <w:style w:type="character" w:styleId="159">
    <w:name w:val="Title Char"/>
    <w:basedOn w:val="147"/>
    <w:link w:val="158"/>
    <w:uiPriority w:val="10"/>
    <w:pPr>
      <w:pBdr/>
      <w:spacing/>
      <w:ind/>
    </w:pPr>
    <w:rPr>
      <w:rFonts w:ascii="Arial" w:hAnsi="Arial" w:eastAsia="Arial" w:cs="Arial"/>
      <w:spacing w:val="-10"/>
      <w:sz w:val="56"/>
      <w:szCs w:val="56"/>
    </w:rPr>
  </w:style>
  <w:style w:type="paragraph" w:styleId="160">
    <w:name w:val="Subtitle"/>
    <w:basedOn w:val="629"/>
    <w:next w:val="629"/>
    <w:link w:val="161"/>
    <w:uiPriority w:val="11"/>
    <w:qFormat/>
    <w:pPr>
      <w:numPr>
        <w:ilvl w:val="1"/>
      </w:numPr>
      <w:pBdr/>
      <w:spacing/>
      <w:ind/>
    </w:pPr>
    <w:rPr>
      <w:color w:val="595959" w:themeColor="text1" w:themeTint="A6"/>
      <w:spacing w:val="15"/>
      <w:sz w:val="28"/>
      <w:szCs w:val="28"/>
    </w:rPr>
  </w:style>
  <w:style w:type="character" w:styleId="161">
    <w:name w:val="Subtitle Char"/>
    <w:basedOn w:val="147"/>
    <w:link w:val="160"/>
    <w:uiPriority w:val="11"/>
    <w:pPr>
      <w:pBdr/>
      <w:spacing/>
      <w:ind/>
    </w:pPr>
    <w:rPr>
      <w:color w:val="595959" w:themeColor="text1" w:themeTint="A6"/>
      <w:spacing w:val="15"/>
      <w:sz w:val="28"/>
      <w:szCs w:val="28"/>
    </w:rPr>
  </w:style>
  <w:style w:type="paragraph" w:styleId="162">
    <w:name w:val="Quote"/>
    <w:basedOn w:val="629"/>
    <w:next w:val="629"/>
    <w:link w:val="163"/>
    <w:uiPriority w:val="29"/>
    <w:qFormat/>
    <w:pPr>
      <w:pBdr/>
      <w:spacing w:before="160"/>
      <w:ind/>
      <w:jc w:val="center"/>
    </w:pPr>
    <w:rPr>
      <w:i/>
      <w:iCs/>
      <w:color w:val="404040" w:themeColor="text1" w:themeTint="BF"/>
    </w:rPr>
  </w:style>
  <w:style w:type="character" w:styleId="163">
    <w:name w:val="Quote Char"/>
    <w:basedOn w:val="147"/>
    <w:link w:val="162"/>
    <w:uiPriority w:val="29"/>
    <w:pPr>
      <w:pBdr/>
      <w:spacing/>
      <w:ind/>
    </w:pPr>
    <w:rPr>
      <w:i/>
      <w:iCs/>
      <w:color w:val="404040" w:themeColor="text1" w:themeTint="BF"/>
    </w:rPr>
  </w:style>
  <w:style w:type="character" w:styleId="165">
    <w:name w:val="Intense Emphasis"/>
    <w:basedOn w:val="147"/>
    <w:uiPriority w:val="21"/>
    <w:qFormat/>
    <w:pPr>
      <w:pBdr/>
      <w:spacing/>
      <w:ind/>
    </w:pPr>
    <w:rPr>
      <w:i/>
      <w:iCs/>
      <w:color w:val="0f4761" w:themeColor="accent1" w:themeShade="BF"/>
    </w:rPr>
  </w:style>
  <w:style w:type="paragraph" w:styleId="166">
    <w:name w:val="Intense Quote"/>
    <w:basedOn w:val="629"/>
    <w:next w:val="629"/>
    <w:link w:val="167"/>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167">
    <w:name w:val="Intense Quote Char"/>
    <w:basedOn w:val="147"/>
    <w:link w:val="166"/>
    <w:uiPriority w:val="30"/>
    <w:pPr>
      <w:pBdr/>
      <w:spacing/>
      <w:ind/>
    </w:pPr>
    <w:rPr>
      <w:i/>
      <w:iCs/>
      <w:color w:val="0f4761" w:themeColor="accent1" w:themeShade="BF"/>
    </w:rPr>
  </w:style>
  <w:style w:type="character" w:styleId="168">
    <w:name w:val="Intense Reference"/>
    <w:basedOn w:val="147"/>
    <w:uiPriority w:val="32"/>
    <w:qFormat/>
    <w:pPr>
      <w:pBdr/>
      <w:spacing/>
      <w:ind/>
    </w:pPr>
    <w:rPr>
      <w:b/>
      <w:bCs/>
      <w:smallCaps/>
      <w:color w:val="0f4761" w:themeColor="accent1" w:themeShade="BF"/>
      <w:spacing w:val="5"/>
    </w:rPr>
  </w:style>
  <w:style w:type="character" w:styleId="170">
    <w:name w:val="Subtle Emphasis"/>
    <w:basedOn w:val="147"/>
    <w:uiPriority w:val="19"/>
    <w:qFormat/>
    <w:pPr>
      <w:pBdr/>
      <w:spacing/>
      <w:ind/>
    </w:pPr>
    <w:rPr>
      <w:i/>
      <w:iCs/>
      <w:color w:val="404040" w:themeColor="text1" w:themeTint="BF"/>
    </w:rPr>
  </w:style>
  <w:style w:type="character" w:styleId="171">
    <w:name w:val="Emphasis"/>
    <w:basedOn w:val="147"/>
    <w:uiPriority w:val="20"/>
    <w:qFormat/>
    <w:pPr>
      <w:pBdr/>
      <w:spacing/>
      <w:ind/>
    </w:pPr>
    <w:rPr>
      <w:i/>
      <w:iCs/>
    </w:rPr>
  </w:style>
  <w:style w:type="character" w:styleId="172">
    <w:name w:val="Strong"/>
    <w:basedOn w:val="147"/>
    <w:uiPriority w:val="22"/>
    <w:qFormat/>
    <w:pPr>
      <w:pBdr/>
      <w:spacing/>
      <w:ind/>
    </w:pPr>
    <w:rPr>
      <w:b/>
      <w:bCs/>
    </w:rPr>
  </w:style>
  <w:style w:type="character" w:styleId="173">
    <w:name w:val="Subtle Reference"/>
    <w:basedOn w:val="147"/>
    <w:uiPriority w:val="31"/>
    <w:qFormat/>
    <w:pPr>
      <w:pBdr/>
      <w:spacing/>
      <w:ind/>
    </w:pPr>
    <w:rPr>
      <w:smallCaps/>
      <w:color w:val="5a5a5a" w:themeColor="text1" w:themeTint="A5"/>
    </w:rPr>
  </w:style>
  <w:style w:type="character" w:styleId="174">
    <w:name w:val="Book Title"/>
    <w:basedOn w:val="147"/>
    <w:uiPriority w:val="33"/>
    <w:qFormat/>
    <w:pPr>
      <w:pBdr/>
      <w:spacing/>
      <w:ind/>
    </w:pPr>
    <w:rPr>
      <w:b/>
      <w:bCs/>
      <w:i/>
      <w:iCs/>
      <w:spacing w:val="5"/>
    </w:rPr>
  </w:style>
  <w:style w:type="paragraph" w:styleId="175">
    <w:name w:val="Header"/>
    <w:basedOn w:val="629"/>
    <w:link w:val="176"/>
    <w:uiPriority w:val="99"/>
    <w:unhideWhenUsed/>
    <w:pPr>
      <w:pBdr/>
      <w:tabs>
        <w:tab w:val="center" w:leader="none" w:pos="4844"/>
        <w:tab w:val="right" w:leader="none" w:pos="9689"/>
      </w:tabs>
      <w:spacing w:after="0" w:line="240" w:lineRule="auto"/>
      <w:ind/>
    </w:pPr>
  </w:style>
  <w:style w:type="character" w:styleId="176">
    <w:name w:val="Header Char"/>
    <w:basedOn w:val="147"/>
    <w:link w:val="175"/>
    <w:uiPriority w:val="99"/>
    <w:pPr>
      <w:pBdr/>
      <w:spacing/>
      <w:ind/>
    </w:pPr>
  </w:style>
  <w:style w:type="paragraph" w:styleId="177">
    <w:name w:val="Footer"/>
    <w:basedOn w:val="629"/>
    <w:link w:val="178"/>
    <w:uiPriority w:val="99"/>
    <w:unhideWhenUsed/>
    <w:pPr>
      <w:pBdr/>
      <w:tabs>
        <w:tab w:val="center" w:leader="none" w:pos="4844"/>
        <w:tab w:val="right" w:leader="none" w:pos="9689"/>
      </w:tabs>
      <w:spacing w:after="0" w:line="240" w:lineRule="auto"/>
      <w:ind/>
    </w:pPr>
  </w:style>
  <w:style w:type="character" w:styleId="178">
    <w:name w:val="Footer Char"/>
    <w:basedOn w:val="147"/>
    <w:link w:val="177"/>
    <w:uiPriority w:val="99"/>
    <w:pPr>
      <w:pBdr/>
      <w:spacing/>
      <w:ind/>
    </w:pPr>
  </w:style>
  <w:style w:type="paragraph" w:styleId="179">
    <w:name w:val="Caption"/>
    <w:basedOn w:val="629"/>
    <w:next w:val="629"/>
    <w:uiPriority w:val="35"/>
    <w:unhideWhenUsed/>
    <w:qFormat/>
    <w:pPr>
      <w:pBdr/>
      <w:spacing w:after="200" w:line="240" w:lineRule="auto"/>
      <w:ind/>
    </w:pPr>
    <w:rPr>
      <w:i/>
      <w:iCs/>
      <w:color w:val="0e2841" w:themeColor="text2"/>
      <w:sz w:val="18"/>
      <w:szCs w:val="18"/>
    </w:rPr>
  </w:style>
  <w:style w:type="paragraph" w:styleId="180">
    <w:name w:val="footnote text"/>
    <w:basedOn w:val="629"/>
    <w:link w:val="181"/>
    <w:uiPriority w:val="99"/>
    <w:semiHidden/>
    <w:unhideWhenUsed/>
    <w:pPr>
      <w:pBdr/>
      <w:spacing w:after="0" w:line="240" w:lineRule="auto"/>
      <w:ind/>
    </w:pPr>
    <w:rPr>
      <w:sz w:val="20"/>
      <w:szCs w:val="20"/>
    </w:rPr>
  </w:style>
  <w:style w:type="character" w:styleId="181">
    <w:name w:val="Footnote Text Char"/>
    <w:basedOn w:val="147"/>
    <w:link w:val="180"/>
    <w:uiPriority w:val="99"/>
    <w:semiHidden/>
    <w:pPr>
      <w:pBdr/>
      <w:spacing/>
      <w:ind/>
    </w:pPr>
    <w:rPr>
      <w:sz w:val="20"/>
      <w:szCs w:val="20"/>
    </w:rPr>
  </w:style>
  <w:style w:type="character" w:styleId="182">
    <w:name w:val="footnote reference"/>
    <w:basedOn w:val="147"/>
    <w:uiPriority w:val="99"/>
    <w:semiHidden/>
    <w:unhideWhenUsed/>
    <w:pPr>
      <w:pBdr/>
      <w:spacing/>
      <w:ind/>
    </w:pPr>
    <w:rPr>
      <w:vertAlign w:val="superscript"/>
    </w:rPr>
  </w:style>
  <w:style w:type="paragraph" w:styleId="183">
    <w:name w:val="endnote text"/>
    <w:basedOn w:val="629"/>
    <w:link w:val="184"/>
    <w:uiPriority w:val="99"/>
    <w:semiHidden/>
    <w:unhideWhenUsed/>
    <w:pPr>
      <w:pBdr/>
      <w:spacing w:after="0" w:line="240" w:lineRule="auto"/>
      <w:ind/>
    </w:pPr>
    <w:rPr>
      <w:sz w:val="20"/>
      <w:szCs w:val="20"/>
    </w:rPr>
  </w:style>
  <w:style w:type="character" w:styleId="184">
    <w:name w:val="Endnote Text Char"/>
    <w:basedOn w:val="147"/>
    <w:link w:val="183"/>
    <w:uiPriority w:val="99"/>
    <w:semiHidden/>
    <w:pPr>
      <w:pBdr/>
      <w:spacing/>
      <w:ind/>
    </w:pPr>
    <w:rPr>
      <w:sz w:val="20"/>
      <w:szCs w:val="20"/>
    </w:rPr>
  </w:style>
  <w:style w:type="character" w:styleId="185">
    <w:name w:val="endnote reference"/>
    <w:basedOn w:val="147"/>
    <w:uiPriority w:val="99"/>
    <w:semiHidden/>
    <w:unhideWhenUsed/>
    <w:pPr>
      <w:pBdr/>
      <w:spacing/>
      <w:ind/>
    </w:pPr>
    <w:rPr>
      <w:vertAlign w:val="superscript"/>
    </w:rPr>
  </w:style>
  <w:style w:type="character" w:styleId="186">
    <w:name w:val="Hyperlink"/>
    <w:basedOn w:val="147"/>
    <w:uiPriority w:val="99"/>
    <w:unhideWhenUsed/>
    <w:pPr>
      <w:pBdr/>
      <w:spacing/>
      <w:ind/>
    </w:pPr>
    <w:rPr>
      <w:color w:val="0563c1" w:themeColor="hyperlink"/>
      <w:u w:val="single"/>
    </w:rPr>
  </w:style>
  <w:style w:type="character" w:styleId="187">
    <w:name w:val="FollowedHyperlink"/>
    <w:basedOn w:val="147"/>
    <w:uiPriority w:val="99"/>
    <w:semiHidden/>
    <w:unhideWhenUsed/>
    <w:pPr>
      <w:pBdr/>
      <w:spacing/>
      <w:ind/>
    </w:pPr>
    <w:rPr>
      <w:color w:val="954f72" w:themeColor="followedHyperlink"/>
      <w:u w:val="single"/>
    </w:rPr>
  </w:style>
  <w:style w:type="paragraph" w:styleId="197">
    <w:name w:val="TOC Heading"/>
    <w:uiPriority w:val="39"/>
    <w:unhideWhenUsed/>
    <w:pPr>
      <w:pBdr/>
      <w:spacing/>
      <w:ind/>
    </w:pPr>
  </w:style>
  <w:style w:type="paragraph" w:styleId="198">
    <w:name w:val="table of figures"/>
    <w:basedOn w:val="629"/>
    <w:next w:val="629"/>
    <w:uiPriority w:val="99"/>
    <w:unhideWhenUsed/>
    <w:pPr>
      <w:pBdr/>
      <w:spacing w:after="0" w:afterAutospacing="0"/>
      <w:ind/>
    </w:pPr>
  </w:style>
  <w:style w:type="paragraph" w:styleId="629" w:default="1">
    <w:name w:val="Normal"/>
    <w:qFormat/>
    <w:pPr>
      <w:pBdr/>
      <w:spacing/>
      <w:ind/>
    </w:pPr>
  </w:style>
  <w:style w:type="table" w:styleId="630" w:default="1">
    <w:name w:val="Normal Table"/>
    <w:uiPriority w:val="99"/>
    <w:semiHidden/>
    <w:unhideWhenUsed/>
    <w:pPr>
      <w:pBdr/>
      <w:spacing/>
      <w:ind/>
    </w:pPr>
    <w:tblPr>
      <w:tblInd w:w="0" w:type="dxa"/>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631" w:default="1">
    <w:name w:val="No List"/>
    <w:uiPriority w:val="99"/>
    <w:semiHidden/>
    <w:unhideWhenUsed/>
    <w:pPr>
      <w:pBdr/>
      <w:spacing/>
      <w:ind/>
    </w:pPr>
  </w:style>
  <w:style w:type="paragraph" w:styleId="632">
    <w:name w:val="No Spacing"/>
    <w:basedOn w:val="629"/>
    <w:uiPriority w:val="1"/>
    <w:qFormat/>
    <w:pPr>
      <w:pBdr/>
      <w:spacing w:after="0" w:line="240" w:lineRule="auto"/>
      <w:ind/>
    </w:pPr>
  </w:style>
  <w:style w:type="paragraph" w:styleId="633">
    <w:name w:val="List Paragraph"/>
    <w:basedOn w:val="629"/>
    <w:uiPriority w:val="34"/>
    <w:qFormat/>
    <w:pPr>
      <w:pBdr/>
      <w:spacing/>
      <w:ind w:left="720"/>
      <w:contextualSpacing w:val="true"/>
    </w:pPr>
  </w:style>
  <w:style w:type="paragraph" w:styleId="1_867" w:customStyle="1">
    <w:name w:val="Standard"/>
    <w:basedOn w:val="680"/>
    <w:qFormat/>
    <w:pPr>
      <w:keepNext w:val="false"/>
      <w:keepLines w:val="false"/>
      <w:pageBreakBefore w:val="false"/>
      <w:widowControl w:val="false"/>
      <w:suppressLineNumbers w:val="false"/>
      <w:pBdr>
        <w:top w:val="none" w:color="000000" w:sz="4" w:space="0"/>
        <w:left w:val="none" w:color="000000" w:sz="4" w:space="0"/>
        <w:bottom w:val="none" w:color="000000" w:sz="4" w:space="0"/>
        <w:right w:val="none" w:color="000000" w:sz="4" w:space="0"/>
        <w:between w:val="none" w:color="000000" w:sz="4" w:space="0"/>
      </w:pBdr>
      <w:shd w:val="nil" w:color="000000"/>
      <w:bidi w:val="false"/>
      <w:spacing w:after="0" w:afterAutospacing="0" w:before="0" w:beforeAutospacing="0" w:line="240" w:lineRule="auto"/>
      <w:ind w:right="0" w:firstLine="0" w:left="0"/>
      <w:contextualSpacing w:val="false"/>
      <w:jc w:val="left"/>
    </w:pPr>
    <w:rPr>
      <w:rFonts w:ascii="Times New Roman" w:hAnsi="Times New Roman" w:eastAsia="Arial Unicode MS" w:cs="Mangal"/>
      <w:b w:val="0"/>
      <w:bCs w:val="0"/>
      <w:i w:val="0"/>
      <w:iCs w:val="0"/>
      <w:caps w:val="0"/>
      <w:smallCaps w:val="0"/>
      <w:strike w:val="0"/>
      <w:vanish w:val="0"/>
      <w:color w:val="auto"/>
      <w:spacing w:val="0"/>
      <w:position w:val="0"/>
      <w:sz w:val="24"/>
      <w:szCs w:val="24"/>
      <w:highlight w:val="none"/>
      <w:u w:val="none"/>
      <w:shd w:val="clear" w:color="auto" w:fill="auto"/>
      <w:vertAlign w:val="baseline"/>
      <w:rtl w:val="0"/>
      <w:cs w:val="0"/>
      <w:lang w:val="pl-PL" w:eastAsia="zh-CN" w:bidi="hi-IN"/>
      <w14:ligatures w14:val="none"/>
    </w:rPr>
  </w:style>
  <w:style w:type="character" w:styleId="1_866" w:customStyle="1">
    <w:name w:val="Domyślna czcionka akapitu"/>
    <w:basedOn w:val="680"/>
    <w:qFormat/>
    <w:pPr>
      <w:pBdr/>
      <w:spacing/>
      <w:ind/>
    </w:pPr>
    <w:rPr>
      <w:rFonts w:ascii="Times New Roman" w:hAnsi="Times New Roman" w:eastAsia="Arial Unicode MS" w:cs="Mangal"/>
      <w:b w:val="0"/>
      <w:bCs w:val="0"/>
      <w:i w:val="0"/>
      <w:iCs w:val="0"/>
      <w:caps w:val="0"/>
      <w:smallCaps w:val="0"/>
      <w:strike w:val="0"/>
      <w:color w:val="auto"/>
      <w:spacing w:val="0"/>
      <w:position w:val="0"/>
      <w:sz w:val="24"/>
      <w:szCs w:val="24"/>
      <w:u w:val="none"/>
      <w:shd w:val="clear" w:color="auto" w:fill="auto"/>
      <w:lang w:val="pl-PL" w:eastAsia="zh-CN" w:bidi="hi-IN"/>
    </w:rPr>
  </w:style>
  <w:style w:type="paragraph" w:styleId="1_868" w:customStyle="1">
    <w:name w:val="Akapit z listą"/>
    <w:basedOn w:val="1_867"/>
    <w:qFormat/>
    <w:pPr>
      <w:keepNext w:val="false"/>
      <w:keepLines w:val="false"/>
      <w:pageBreakBefore w:val="false"/>
      <w:widowControl w:val="false"/>
      <w:suppressLineNumbers w:val="false"/>
      <w:pBdr>
        <w:top w:val="none" w:color="000000" w:sz="4" w:space="0"/>
        <w:left w:val="none" w:color="000000" w:sz="4" w:space="0"/>
        <w:bottom w:val="none" w:color="000000" w:sz="4" w:space="0"/>
        <w:right w:val="none" w:color="000000" w:sz="4" w:space="0"/>
        <w:between w:val="none" w:color="000000" w:sz="4" w:space="0"/>
      </w:pBdr>
      <w:shd w:val="nil" w:color="000000"/>
      <w:bidi w:val="false"/>
      <w:spacing w:after="0" w:afterAutospacing="0" w:before="0" w:beforeAutospacing="0" w:line="240" w:lineRule="auto"/>
      <w:ind w:right="0" w:firstLine="0" w:left="720"/>
      <w:contextualSpacing w:val="false"/>
      <w:jc w:val="left"/>
    </w:pPr>
    <w:rPr>
      <w:rFonts w:ascii="Times New Roman" w:hAnsi="Times New Roman" w:eastAsia="Arial Unicode MS" w:cs="Mangal"/>
      <w:b w:val="0"/>
      <w:bCs w:val="0"/>
      <w:i w:val="0"/>
      <w:iCs w:val="0"/>
      <w:caps w:val="0"/>
      <w:smallCaps w:val="0"/>
      <w:strike w:val="0"/>
      <w:vanish w:val="0"/>
      <w:color w:val="auto"/>
      <w:spacing w:val="0"/>
      <w:position w:val="0"/>
      <w:sz w:val="24"/>
      <w:szCs w:val="24"/>
      <w:highlight w:val="none"/>
      <w:u w:val="none"/>
      <w:shd w:val="clear" w:color="auto" w:fill="auto"/>
      <w:vertAlign w:val="baseline"/>
      <w:rtl w:val="0"/>
      <w:cs w:val="0"/>
      <w:lang w:val="pl-PL" w:eastAsia="zh-CN" w:bidi="hi-IN"/>
      <w14:ligatures w14:val="none"/>
    </w:rPr>
  </w:style>
  <w:style w:type="paragraph" w:styleId="1_865" w:customStyle="1">
    <w:name w:val="Normalny"/>
    <w:basedOn w:val="680"/>
    <w:qFormat/>
    <w:pPr>
      <w:keepNext w:val="false"/>
      <w:keepLines w:val="false"/>
      <w:pageBreakBefore w:val="false"/>
      <w:widowControl w:val="false"/>
      <w:suppressLineNumbers w:val="false"/>
      <w:pBdr>
        <w:top w:val="none" w:color="000000" w:sz="4" w:space="0"/>
        <w:left w:val="none" w:color="000000" w:sz="4" w:space="0"/>
        <w:bottom w:val="none" w:color="000000" w:sz="4" w:space="0"/>
        <w:right w:val="none" w:color="000000" w:sz="4" w:space="0"/>
        <w:between w:val="none" w:color="000000" w:sz="4" w:space="0"/>
      </w:pBdr>
      <w:shd w:val="nil" w:color="000000"/>
      <w:bidi w:val="false"/>
      <w:spacing w:after="10" w:afterAutospacing="0" w:before="0" w:beforeAutospacing="0" w:line="240" w:lineRule="auto"/>
      <w:ind w:right="4" w:hanging="9" w:left="10"/>
      <w:contextualSpacing w:val="false"/>
      <w:jc w:val="both"/>
    </w:pPr>
    <w:rPr>
      <w:rFonts w:ascii="Times New Roman" w:hAnsi="Times New Roman" w:eastAsia="Times New Roman" w:cs="Times New Roman"/>
      <w:b w:val="0"/>
      <w:bCs w:val="0"/>
      <w:i w:val="0"/>
      <w:iCs w:val="0"/>
      <w:caps w:val="0"/>
      <w:smallCaps w:val="0"/>
      <w:strike w:val="0"/>
      <w:vanish w:val="0"/>
      <w:color w:val="000000"/>
      <w:spacing w:val="0"/>
      <w:position w:val="0"/>
      <w:sz w:val="24"/>
      <w:szCs w:val="24"/>
      <w:highlight w:val="none"/>
      <w:u w:val="none"/>
      <w:shd w:val="clear" w:color="auto" w:fill="auto"/>
      <w:vertAlign w:val="baseline"/>
      <w:rtl w:val="0"/>
      <w:cs w:val="0"/>
      <w:lang w:val="pl-PL" w:eastAsia="zh-CN" w:bidi="hi-IN"/>
      <w14:ligatures w14:val="none"/>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image" Target="media/image1.jpg"/><Relationship Id="rId10" Type="http://schemas.openxmlformats.org/officeDocument/2006/relationships/image" Target="media/image2.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Application>ONLYOFFICE/8.1.1.27</Application>
  <DocSecurity>0</DocSecurity>
  <HyperlinksChanged>false</HyperlinksChanged>
  <LinksUpToDate>false</LinksUpToDate>
  <ScaleCrop>false</ScaleCrop>
  <SharedDoc>false</SharedDoc>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revision>1</cp:revision>
  <dcterms:modified xsi:type="dcterms:W3CDTF">2024-10-15T09:21:04Z</dcterms:modified>
</cp:coreProperties>
</file>